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contextualSpacing/>
        <w:rPr>
          <w:rFonts w:hint="default" w:ascii="Times New Roman" w:hAnsi="Times New Roman" w:cs="Times New Roman"/>
          <w:i/>
          <w:iCs/>
          <w:sz w:val="24"/>
          <w:szCs w:val="24"/>
        </w:rPr>
      </w:pPr>
      <w:bookmarkStart w:id="5" w:name="_GoBack"/>
      <w:bookmarkEnd w:id="5"/>
      <w:r>
        <w:rPr>
          <w:rFonts w:hint="default" w:ascii="Times New Roman" w:hAnsi="Times New Roman" w:cs="Times New Roman"/>
          <w:sz w:val="24"/>
          <w:szCs w:val="24"/>
        </w:rPr>
        <w:t xml:space="preserve">ДОГОВОР </w:t>
      </w:r>
      <w:r>
        <w:rPr>
          <w:rFonts w:hint="default" w:ascii="Times New Roman" w:hAnsi="Times New Roman" w:cs="Times New Roman"/>
          <w:i/>
          <w:iCs/>
          <w:sz w:val="24"/>
          <w:szCs w:val="24"/>
        </w:rPr>
        <w:t>поставки</w:t>
      </w:r>
    </w:p>
    <w:p>
      <w:pPr>
        <w:pStyle w:val="18"/>
        <w:contextualSpacing/>
        <w:rPr>
          <w:rFonts w:hint="default" w:ascii="Times New Roman" w:hAnsi="Times New Roman" w:cs="Times New Roman"/>
          <w:sz w:val="24"/>
          <w:szCs w:val="24"/>
        </w:rPr>
      </w:pPr>
      <w:r>
        <w:rPr>
          <w:rFonts w:hint="default" w:ascii="Times New Roman" w:hAnsi="Times New Roman" w:cs="Times New Roman"/>
          <w:sz w:val="24"/>
          <w:szCs w:val="24"/>
        </w:rPr>
        <w:t>№_________</w:t>
      </w:r>
    </w:p>
    <w:p>
      <w:pPr>
        <w:pStyle w:val="18"/>
        <w:contextualSpacing/>
        <w:rPr>
          <w:rFonts w:hint="default" w:ascii="Times New Roman" w:hAnsi="Times New Roman" w:cs="Times New Roman"/>
          <w:i/>
          <w:iCs/>
          <w:sz w:val="24"/>
          <w:szCs w:val="24"/>
        </w:rPr>
      </w:pPr>
    </w:p>
    <w:tbl>
      <w:tblPr>
        <w:tblStyle w:val="7"/>
        <w:tblW w:w="10456" w:type="dxa"/>
        <w:tblInd w:w="0" w:type="dxa"/>
        <w:tblLayout w:type="fixed"/>
        <w:tblCellMar>
          <w:top w:w="0" w:type="dxa"/>
          <w:left w:w="108" w:type="dxa"/>
          <w:bottom w:w="0" w:type="dxa"/>
          <w:right w:w="108" w:type="dxa"/>
        </w:tblCellMar>
      </w:tblPr>
      <w:tblGrid>
        <w:gridCol w:w="4927"/>
        <w:gridCol w:w="5529"/>
      </w:tblGrid>
      <w:tr>
        <w:tblPrEx>
          <w:tblCellMar>
            <w:top w:w="0" w:type="dxa"/>
            <w:left w:w="108" w:type="dxa"/>
            <w:bottom w:w="0" w:type="dxa"/>
            <w:right w:w="108" w:type="dxa"/>
          </w:tblCellMar>
        </w:tblPrEx>
        <w:trPr>
          <w:wBefore w:w="0" w:type="dxa"/>
        </w:trPr>
        <w:tc>
          <w:tcPr>
            <w:tcW w:w="4927" w:type="dxa"/>
            <w:noWrap w:val="0"/>
            <w:vAlign w:val="top"/>
          </w:tcPr>
          <w:p>
            <w:pPr>
              <w:pStyle w:val="13"/>
              <w:rPr>
                <w:rFonts w:hint="default" w:ascii="Times New Roman" w:hAnsi="Times New Roman" w:cs="Times New Roman"/>
                <w:b/>
                <w:sz w:val="24"/>
                <w:szCs w:val="24"/>
                <w:lang w:val="ru-RU" w:eastAsia="ru-RU"/>
              </w:rPr>
            </w:pPr>
            <w:r>
              <w:rPr>
                <w:rFonts w:hint="default" w:ascii="Times New Roman" w:hAnsi="Times New Roman" w:cs="Times New Roman"/>
                <w:b/>
                <w:sz w:val="24"/>
                <w:szCs w:val="24"/>
                <w:lang w:val="ru-RU" w:eastAsia="ru-RU"/>
              </w:rPr>
              <w:t>г. Димитровград</w:t>
            </w:r>
          </w:p>
        </w:tc>
        <w:tc>
          <w:tcPr>
            <w:tcW w:w="5529" w:type="dxa"/>
            <w:noWrap w:val="0"/>
            <w:vAlign w:val="top"/>
          </w:tcPr>
          <w:p>
            <w:pPr>
              <w:jc w:val="right"/>
              <w:rPr>
                <w:rFonts w:hint="default" w:ascii="Times New Roman" w:hAnsi="Times New Roman" w:cs="Times New Roman"/>
                <w:b/>
                <w:sz w:val="24"/>
                <w:szCs w:val="24"/>
              </w:rPr>
            </w:pPr>
            <w:r>
              <w:rPr>
                <w:rFonts w:hint="default" w:ascii="Times New Roman" w:hAnsi="Times New Roman" w:cs="Times New Roman"/>
                <w:b/>
                <w:sz w:val="24"/>
                <w:szCs w:val="24"/>
              </w:rPr>
              <w:t>«____» ________ 202_ г.</w:t>
            </w:r>
          </w:p>
        </w:tc>
      </w:tr>
    </w:tbl>
    <w:p>
      <w:pPr>
        <w:jc w:val="both"/>
        <w:rPr>
          <w:rFonts w:hint="default" w:ascii="Times New Roman" w:hAnsi="Times New Roman" w:cs="Times New Roman"/>
          <w:color w:val="000000"/>
          <w:sz w:val="24"/>
          <w:szCs w:val="24"/>
        </w:rPr>
      </w:pPr>
    </w:p>
    <w:p>
      <w:pPr>
        <w:ind w:firstLine="708"/>
        <w:jc w:val="both"/>
        <w:rPr>
          <w:rFonts w:hint="default" w:ascii="Times New Roman" w:hAnsi="Times New Roman" w:cs="Times New Roman"/>
          <w:i/>
          <w:color w:val="000000"/>
          <w:sz w:val="24"/>
          <w:szCs w:val="24"/>
        </w:rPr>
      </w:pPr>
      <w:r>
        <w:rPr>
          <w:rFonts w:hint="default" w:ascii="Times New Roman" w:hAnsi="Times New Roman" w:cs="Times New Roman"/>
          <w:b/>
          <w:color w:val="000000"/>
          <w:sz w:val="24"/>
          <w:szCs w:val="24"/>
        </w:rPr>
        <w:t>Общество с ограниченной ответственностью «</w:t>
      </w:r>
      <w:r>
        <w:rPr>
          <w:rFonts w:hint="default" w:ascii="Times New Roman" w:hAnsi="Times New Roman" w:cs="Times New Roman"/>
          <w:b/>
          <w:sz w:val="24"/>
          <w:szCs w:val="24"/>
        </w:rPr>
        <w:t xml:space="preserve">_________», </w:t>
      </w:r>
      <w:r>
        <w:rPr>
          <w:rFonts w:hint="default" w:ascii="Times New Roman" w:hAnsi="Times New Roman" w:cs="Times New Roman"/>
          <w:color w:val="000000"/>
          <w:sz w:val="24"/>
          <w:szCs w:val="24"/>
        </w:rPr>
        <w:t>реквизиты которого указаны в разделе</w:t>
      </w:r>
      <w:r>
        <w:rPr>
          <w:rFonts w:hint="default" w:ascii="Times New Roman" w:hAnsi="Times New Roman" w:cs="Times New Roman"/>
          <w:i/>
          <w:color w:val="000000"/>
          <w:sz w:val="24"/>
          <w:szCs w:val="24"/>
        </w:rPr>
        <w:t xml:space="preserve"> </w:t>
      </w:r>
      <w:r>
        <w:rPr>
          <w:rFonts w:hint="default" w:ascii="Times New Roman" w:hAnsi="Times New Roman" w:cs="Times New Roman"/>
          <w:color w:val="000000"/>
          <w:sz w:val="24"/>
          <w:szCs w:val="24"/>
        </w:rPr>
        <w:t xml:space="preserve">«Реквизиты, печати и подписи уполномоченных лиц Сторон» настоящего Договора, именуемое в дальнейшем </w:t>
      </w:r>
      <w:r>
        <w:rPr>
          <w:rFonts w:hint="default" w:ascii="Times New Roman" w:hAnsi="Times New Roman" w:cs="Times New Roman"/>
          <w:b/>
          <w:color w:val="000000"/>
          <w:sz w:val="24"/>
          <w:szCs w:val="24"/>
        </w:rPr>
        <w:t>«Поставщик»</w:t>
      </w:r>
      <w:r>
        <w:rPr>
          <w:rFonts w:hint="default" w:ascii="Times New Roman" w:hAnsi="Times New Roman" w:cs="Times New Roman"/>
          <w:color w:val="000000"/>
          <w:sz w:val="24"/>
          <w:szCs w:val="24"/>
        </w:rPr>
        <w:t xml:space="preserve">, в лице </w:t>
      </w:r>
      <w:r>
        <w:rPr>
          <w:rFonts w:hint="default" w:ascii="Times New Roman" w:hAnsi="Times New Roman" w:cs="Times New Roman"/>
          <w:sz w:val="24"/>
          <w:szCs w:val="24"/>
        </w:rPr>
        <w:t>__________ _________________________________________________</w:t>
      </w:r>
      <w:r>
        <w:rPr>
          <w:rFonts w:hint="default" w:ascii="Times New Roman" w:hAnsi="Times New Roman" w:cs="Times New Roman"/>
          <w:color w:val="000000"/>
          <w:sz w:val="24"/>
          <w:szCs w:val="24"/>
        </w:rPr>
        <w:t xml:space="preserve">, и </w:t>
      </w:r>
    </w:p>
    <w:p>
      <w:pPr>
        <w:ind w:firstLine="708"/>
        <w:contextualSpacing/>
        <w:jc w:val="both"/>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Общество с ограниченной ответственностью «Ульяновский областной водоканал»</w:t>
      </w:r>
      <w:r>
        <w:rPr>
          <w:rFonts w:hint="default" w:ascii="Times New Roman" w:hAnsi="Times New Roman" w:cs="Times New Roman"/>
          <w:color w:val="000000"/>
          <w:sz w:val="24"/>
          <w:szCs w:val="24"/>
        </w:rPr>
        <w:t>, реквизиты которого указаны в разделе</w:t>
      </w:r>
      <w:r>
        <w:rPr>
          <w:rFonts w:hint="default" w:ascii="Times New Roman" w:hAnsi="Times New Roman" w:cs="Times New Roman"/>
          <w:i/>
          <w:color w:val="000000"/>
          <w:sz w:val="24"/>
          <w:szCs w:val="24"/>
        </w:rPr>
        <w:t xml:space="preserve"> </w:t>
      </w:r>
      <w:r>
        <w:rPr>
          <w:rFonts w:hint="default" w:ascii="Times New Roman" w:hAnsi="Times New Roman" w:cs="Times New Roman"/>
          <w:color w:val="000000"/>
          <w:sz w:val="24"/>
          <w:szCs w:val="24"/>
        </w:rPr>
        <w:t xml:space="preserve">«Реквизиты, печати и подписи уполномоченных лиц Сторон» настоящего Договора, именуемое в дальнейшем </w:t>
      </w:r>
      <w:r>
        <w:rPr>
          <w:rFonts w:hint="default" w:ascii="Times New Roman" w:hAnsi="Times New Roman" w:cs="Times New Roman"/>
          <w:b/>
          <w:color w:val="000000"/>
          <w:sz w:val="24"/>
          <w:szCs w:val="24"/>
        </w:rPr>
        <w:t xml:space="preserve">«Покупатель», </w:t>
      </w:r>
      <w:r>
        <w:rPr>
          <w:rFonts w:hint="default" w:ascii="Times New Roman" w:hAnsi="Times New Roman" w:cs="Times New Roman"/>
          <w:color w:val="000000"/>
          <w:sz w:val="24"/>
          <w:szCs w:val="24"/>
        </w:rPr>
        <w:t xml:space="preserve">в лице главного управляющего директора Трофимова Алексея Валерьевича, действующего на основании </w:t>
      </w:r>
      <w:r>
        <w:rPr>
          <w:rFonts w:hint="default" w:ascii="Times New Roman" w:hAnsi="Times New Roman" w:eastAsia="SimSun" w:cs="Times New Roman"/>
          <w:color w:val="000000"/>
          <w:sz w:val="24"/>
          <w:szCs w:val="24"/>
          <w:lang w:eastAsia="ar-SA"/>
        </w:rPr>
        <w:t>доверенности №22 от 20.02.2021г</w:t>
      </w:r>
      <w:r>
        <w:rPr>
          <w:rFonts w:hint="default" w:ascii="Times New Roman" w:hAnsi="Times New Roman" w:cs="Times New Roman"/>
          <w:color w:val="000000"/>
          <w:sz w:val="24"/>
          <w:szCs w:val="24"/>
        </w:rPr>
        <w:t>, с другой стороны, именуемые в дальнейшем каждый в отдельности «Сторона», а совместно – «Стороны», на основании результатов проведения процедуры закупки № ______________, заключили настоящий договор (далее по тексту – «Договор») о нижеследующем:</w:t>
      </w:r>
    </w:p>
    <w:p>
      <w:pPr>
        <w:jc w:val="both"/>
        <w:rPr>
          <w:rFonts w:hint="default" w:ascii="Times New Roman" w:hAnsi="Times New Roman" w:cs="Times New Roman"/>
          <w:color w:val="000000"/>
          <w:sz w:val="24"/>
          <w:szCs w:val="24"/>
        </w:rPr>
      </w:pPr>
    </w:p>
    <w:p>
      <w:pPr>
        <w:contextualSpacing/>
        <w:jc w:val="center"/>
        <w:outlineLvl w:val="0"/>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 xml:space="preserve">1. Предмет Договора </w:t>
      </w:r>
    </w:p>
    <w:p>
      <w:pPr>
        <w:contextualSpacing/>
        <w:jc w:val="both"/>
        <w:outlineLvl w:val="1"/>
        <w:rPr>
          <w:rFonts w:hint="default" w:ascii="Times New Roman" w:hAnsi="Times New Roman" w:cs="Times New Roman"/>
          <w:b/>
          <w:sz w:val="24"/>
          <w:szCs w:val="24"/>
        </w:rPr>
      </w:pPr>
      <w:r>
        <w:rPr>
          <w:rFonts w:hint="default" w:ascii="Times New Roman" w:hAnsi="Times New Roman" w:cs="Times New Roman"/>
          <w:sz w:val="24"/>
          <w:szCs w:val="24"/>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Приложениях к настоящему Договору (по форме согласно Приложению №1), далее по тексту договора «Товар». </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pPr>
        <w:contextualSpacing/>
        <w:jc w:val="center"/>
        <w:rPr>
          <w:rFonts w:hint="default" w:ascii="Times New Roman" w:hAnsi="Times New Roman" w:cs="Times New Roman"/>
          <w:b/>
          <w:sz w:val="24"/>
          <w:szCs w:val="24"/>
        </w:rPr>
      </w:pPr>
    </w:p>
    <w:p>
      <w:pPr>
        <w:contextualSpacing/>
        <w:jc w:val="center"/>
        <w:outlineLvl w:val="0"/>
        <w:rPr>
          <w:rFonts w:hint="default" w:ascii="Times New Roman" w:hAnsi="Times New Roman" w:cs="Times New Roman"/>
          <w:b/>
          <w:sz w:val="24"/>
          <w:szCs w:val="24"/>
        </w:rPr>
      </w:pPr>
      <w:r>
        <w:rPr>
          <w:rFonts w:hint="default" w:ascii="Times New Roman" w:hAnsi="Times New Roman" w:cs="Times New Roman"/>
          <w:b/>
          <w:sz w:val="24"/>
          <w:szCs w:val="24"/>
        </w:rPr>
        <w:t>2. Обязательства Сторон</w:t>
      </w:r>
    </w:p>
    <w:p>
      <w:pPr>
        <w:contextualSpacing/>
        <w:jc w:val="both"/>
        <w:outlineLvl w:val="1"/>
        <w:rPr>
          <w:rFonts w:hint="default" w:ascii="Times New Roman" w:hAnsi="Times New Roman" w:cs="Times New Roman"/>
          <w:i/>
          <w:sz w:val="24"/>
          <w:szCs w:val="24"/>
        </w:rPr>
      </w:pPr>
      <w:r>
        <w:rPr>
          <w:rFonts w:hint="default" w:ascii="Times New Roman" w:hAnsi="Times New Roman" w:cs="Times New Roman"/>
          <w:i/>
          <w:sz w:val="24"/>
          <w:szCs w:val="24"/>
        </w:rPr>
        <w:t>2.1. Поставщик обязан:</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2.1.2. </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Поставщик обязан одновременно с Товаром направить Покупателю следующие</w:t>
      </w:r>
      <w:r>
        <w:rPr>
          <w:rFonts w:hint="default" w:ascii="Times New Roman" w:hAnsi="Times New Roman" w:cs="Times New Roman"/>
          <w:sz w:val="24"/>
          <w:szCs w:val="24"/>
        </w:rPr>
        <w:br w:type="textWrapping"/>
      </w:r>
      <w:r>
        <w:rPr>
          <w:rFonts w:hint="default" w:ascii="Times New Roman" w:hAnsi="Times New Roman" w:cs="Times New Roman"/>
          <w:sz w:val="24"/>
          <w:szCs w:val="24"/>
        </w:rPr>
        <w:t>документы:</w:t>
      </w:r>
    </w:p>
    <w:p>
      <w:pPr>
        <w:pStyle w:val="41"/>
        <w:widowControl/>
        <w:numPr>
          <w:ilvl w:val="0"/>
          <w:numId w:val="1"/>
        </w:numPr>
        <w:tabs>
          <w:tab w:val="left" w:pos="931"/>
        </w:tabs>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копию сертификата соответствия на Товар, заверенную держателем (собственником) сертификата, либо органом, выдавшим сертификат, либо заверенную нотариально;</w:t>
      </w:r>
    </w:p>
    <w:p>
      <w:pPr>
        <w:pStyle w:val="43"/>
        <w:widowControl/>
        <w:numPr>
          <w:ilvl w:val="0"/>
          <w:numId w:val="2"/>
        </w:numPr>
        <w:tabs>
          <w:tab w:val="left" w:pos="835"/>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сертификат качества;</w:t>
      </w:r>
    </w:p>
    <w:p>
      <w:pPr>
        <w:pStyle w:val="41"/>
        <w:widowControl/>
        <w:numPr>
          <w:ilvl w:val="0"/>
          <w:numId w:val="3"/>
        </w:numPr>
        <w:tabs>
          <w:tab w:val="left" w:pos="941"/>
        </w:tabs>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паспорт на каждую единицу Товара, в случае если поставляемый Товар требует паспортизации, скрепленный печатью производителя;</w:t>
      </w:r>
    </w:p>
    <w:p>
      <w:pPr>
        <w:pStyle w:val="43"/>
        <w:widowControl/>
        <w:numPr>
          <w:ilvl w:val="0"/>
          <w:numId w:val="2"/>
        </w:numPr>
        <w:tabs>
          <w:tab w:val="left" w:pos="835"/>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накладная на Товар (ТОРГ-12) или универсальный передаточный документ (УПД));</w:t>
      </w:r>
    </w:p>
    <w:p>
      <w:pPr>
        <w:pStyle w:val="43"/>
        <w:widowControl/>
        <w:numPr>
          <w:ilvl w:val="0"/>
          <w:numId w:val="2"/>
        </w:numPr>
        <w:tabs>
          <w:tab w:val="left" w:pos="835"/>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счет на оплату поставленного товара;</w:t>
      </w:r>
    </w:p>
    <w:p>
      <w:pPr>
        <w:pStyle w:val="43"/>
        <w:widowControl/>
        <w:numPr>
          <w:ilvl w:val="0"/>
          <w:numId w:val="2"/>
        </w:numPr>
        <w:tabs>
          <w:tab w:val="left" w:pos="835"/>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документ, подтверждающий гарантийные обязательства на Товар;</w:t>
      </w:r>
    </w:p>
    <w:p>
      <w:pPr>
        <w:pStyle w:val="43"/>
        <w:widowControl/>
        <w:numPr>
          <w:ilvl w:val="0"/>
          <w:numId w:val="2"/>
        </w:numPr>
        <w:tabs>
          <w:tab w:val="left" w:pos="835"/>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упаковочный лист;</w:t>
      </w:r>
    </w:p>
    <w:p>
      <w:pPr>
        <w:pStyle w:val="43"/>
        <w:widowControl/>
        <w:numPr>
          <w:ilvl w:val="0"/>
          <w:numId w:val="2"/>
        </w:numPr>
        <w:tabs>
          <w:tab w:val="left" w:pos="835"/>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инструкции,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(если применимо);</w:t>
      </w:r>
    </w:p>
    <w:p>
      <w:pPr>
        <w:pStyle w:val="42"/>
        <w:widowControl/>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Документы должны быть составлены на русском языке или иметь надлежащим образом, заверенный перевод на русский язык.</w:t>
      </w:r>
    </w:p>
    <w:p>
      <w:pPr>
        <w:pStyle w:val="42"/>
        <w:widowControl/>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В случае поставки Товара на базисе – склад Поставщика указанные выше документы передаются Покупателю/Грузополучателю одновременно с передачей Товара.</w:t>
      </w:r>
    </w:p>
    <w:p>
      <w:pPr>
        <w:pStyle w:val="42"/>
        <w:widowControl/>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pPr>
        <w:pStyle w:val="41"/>
        <w:widowControl/>
        <w:numPr>
          <w:ilvl w:val="0"/>
          <w:numId w:val="2"/>
        </w:numPr>
        <w:tabs>
          <w:tab w:val="left" w:pos="854"/>
        </w:tabs>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наименование документа;</w:t>
      </w:r>
    </w:p>
    <w:p>
      <w:pPr>
        <w:pStyle w:val="41"/>
        <w:widowControl/>
        <w:numPr>
          <w:ilvl w:val="0"/>
          <w:numId w:val="2"/>
        </w:numPr>
        <w:tabs>
          <w:tab w:val="left" w:pos="854"/>
        </w:tabs>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дату составления документа;</w:t>
      </w:r>
    </w:p>
    <w:p>
      <w:pPr>
        <w:pStyle w:val="41"/>
        <w:widowControl/>
        <w:numPr>
          <w:ilvl w:val="0"/>
          <w:numId w:val="2"/>
        </w:numPr>
        <w:tabs>
          <w:tab w:val="left" w:pos="854"/>
        </w:tabs>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наименование организации, от имени которой составлен документ;</w:t>
      </w:r>
    </w:p>
    <w:p>
      <w:pPr>
        <w:pStyle w:val="41"/>
        <w:widowControl/>
        <w:numPr>
          <w:ilvl w:val="0"/>
          <w:numId w:val="2"/>
        </w:numPr>
        <w:tabs>
          <w:tab w:val="left" w:pos="854"/>
        </w:tabs>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содержание хозяйственной операции;</w:t>
      </w:r>
    </w:p>
    <w:p>
      <w:pPr>
        <w:pStyle w:val="41"/>
        <w:widowControl/>
        <w:numPr>
          <w:ilvl w:val="0"/>
          <w:numId w:val="2"/>
        </w:numPr>
        <w:tabs>
          <w:tab w:val="left" w:pos="854"/>
        </w:tabs>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измерители хозяйственной операции в натуральном и денежном выражении;</w:t>
      </w:r>
    </w:p>
    <w:p>
      <w:pPr>
        <w:pStyle w:val="41"/>
        <w:widowControl/>
        <w:numPr>
          <w:ilvl w:val="0"/>
          <w:numId w:val="2"/>
        </w:numPr>
        <w:tabs>
          <w:tab w:val="left" w:pos="835"/>
        </w:tabs>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наименование должностей лиц, ответственных за совершение хозяйственной операции и правильность ее оформления;</w:t>
      </w:r>
    </w:p>
    <w:p>
      <w:pPr>
        <w:pStyle w:val="41"/>
        <w:widowControl/>
        <w:numPr>
          <w:ilvl w:val="0"/>
          <w:numId w:val="2"/>
        </w:numPr>
        <w:tabs>
          <w:tab w:val="left" w:pos="854"/>
        </w:tabs>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личные подписи указанных лиц.</w:t>
      </w:r>
    </w:p>
    <w:p>
      <w:pPr>
        <w:pStyle w:val="41"/>
        <w:widowControl/>
        <w:tabs>
          <w:tab w:val="left" w:pos="1238"/>
        </w:tabs>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pPr>
        <w:pStyle w:val="42"/>
        <w:widowControl/>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В случае предоставления документов, указанных в п. 8.1. настоящего Договора, не соответствующих требования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уведомлением, направляемым по электронной почте.</w:t>
      </w:r>
    </w:p>
    <w:p>
      <w:pPr>
        <w:pStyle w:val="42"/>
        <w:widowControl/>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Оригиналы первичных учетных документов и прочих товаросопроводительных документов (за исключением счетов-фактур, товарных накладных (ТОРГ-12) или универсального передаточного документа (УПД) и актов сверки расчетов, адрес для предоставления которых указан в разделе 13 настоящего Договора) направляются либо в транспортном средстве вместе с Товаром, либо экспресс-почтой по адресу Покупателя, указанному в соответствующей Заявке. В случае направления документов по иному адресу такие документы не принимаются к рассмотрению, не подлежат переадресовке в адрес Покупателя и считаются не предоставленными.</w:t>
      </w:r>
    </w:p>
    <w:p>
      <w:pPr>
        <w:pStyle w:val="42"/>
        <w:widowControl/>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При оформлении товарных накладных (ТОРГ-12 или универсального передаточного документа (УПД)) необходимо указывать в них номер Договора, номер Отгрузочной разнарядки и номер товаротранспортных документов (номер железнодорожной накладной/товарно-транспортной накладной).</w:t>
      </w:r>
    </w:p>
    <w:p>
      <w:pPr>
        <w:pStyle w:val="42"/>
        <w:widowControl/>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Оригиналы корректно оформленных счетов-фактур и товарных накладных (ТОРГ-12 или универсального передаточного документа (УПД)) должны быть предоставлены Поставщиком в течение 5 (пяти) рабочих дней с даты их выставления по адресу Покупателя, указанному в соответствующей Заявке. Поэтому же адресу Поставщик обязуется возвращать подписанные со своей стороны акты сверки расчетов.</w:t>
      </w:r>
    </w:p>
    <w:p>
      <w:pPr>
        <w:pStyle w:val="13"/>
        <w:jc w:val="both"/>
        <w:rPr>
          <w:rFonts w:hint="default" w:ascii="Times New Roman" w:hAnsi="Times New Roman" w:cs="Times New Roman"/>
          <w:sz w:val="24"/>
          <w:szCs w:val="24"/>
        </w:rPr>
      </w:pPr>
      <w:r>
        <w:rPr>
          <w:rFonts w:hint="default" w:ascii="Times New Roman" w:hAnsi="Times New Roman" w:cs="Times New Roman"/>
          <w:sz w:val="24"/>
          <w:szCs w:val="24"/>
          <w:lang w:val="ru-RU" w:eastAsia="ru-RU"/>
        </w:rPr>
        <w:t xml:space="preserve">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корректировочные счета-фактуры и счета-фактуры, оформляемые на предоплату, если она осуществлялась. </w:t>
      </w:r>
      <w:r>
        <w:rPr>
          <w:rFonts w:hint="default" w:ascii="Times New Roman" w:hAnsi="Times New Roman" w:cs="Times New Roman"/>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r>
        <w:rPr>
          <w:rFonts w:hint="default" w:ascii="Times New Roman" w:hAnsi="Times New Roman" w:cs="Times New Roman"/>
          <w:sz w:val="24"/>
          <w:szCs w:val="24"/>
          <w:lang w:val="ru-RU"/>
        </w:rPr>
        <w:t xml:space="preserve"> </w:t>
      </w:r>
      <w:r>
        <w:rPr>
          <w:rFonts w:hint="default" w:ascii="Times New Roman" w:hAnsi="Times New Roman" w:cs="Times New Roman"/>
          <w:sz w:val="24"/>
          <w:szCs w:val="24"/>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pPr>
        <w:pStyle w:val="42"/>
        <w:widowControl/>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В случае нарушения требований по оформлению счетов-фактур, а также не предоставления оригинала счета-фактуры в установленные Договором сроки, Сторона, осуществляющая оплату Товара по настоящему Договору, вправе отсрочить соответствующий платеж на срок просрочки предоставления надлежаще оформленного оригинала счета-фактуры. При обнаружении некорректно оформленных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Поставщика о данном факте с описанием выявленных нарушений.</w:t>
      </w:r>
    </w:p>
    <w:p>
      <w:pPr>
        <w:pStyle w:val="42"/>
        <w:widowControl/>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В случае несоответствия данных в счетах-фактурах и первичных документов (наименование номенклатурных позиций, количество, стоимость) уведомление о несоответствии будут направляться в течение 2 (двух) рабочих дней с даты поставки Товара, либо с даты получения счета-фактуры, в зависимости от того, какое из этих событий произошло позже.</w:t>
      </w:r>
    </w:p>
    <w:p>
      <w:pPr>
        <w:pStyle w:val="42"/>
        <w:widowControl/>
        <w:spacing w:line="240" w:lineRule="auto"/>
        <w:ind w:firstLine="0"/>
        <w:rPr>
          <w:rFonts w:hint="default" w:ascii="Times New Roman" w:hAnsi="Times New Roman" w:cs="Times New Roman"/>
          <w:sz w:val="24"/>
          <w:szCs w:val="24"/>
        </w:rPr>
      </w:pPr>
      <w:r>
        <w:rPr>
          <w:rFonts w:hint="default" w:ascii="Times New Roman" w:hAnsi="Times New Roman" w:cs="Times New Roman"/>
          <w:sz w:val="24"/>
          <w:szCs w:val="24"/>
        </w:rPr>
        <w:t>Поставщик в течение 1 (одного) рабочего дня с момента получения уведомлений о несоответствии рассматривает их и направляет исправленные документы, либо направляет ответ с аргументацией, подтверждающей правильность первоначального заполнения счетов-фактур.</w:t>
      </w:r>
    </w:p>
    <w:p>
      <w:pPr>
        <w:spacing w:line="240" w:lineRule="exact"/>
        <w:jc w:val="both"/>
        <w:rPr>
          <w:rFonts w:hint="default" w:ascii="Times New Roman" w:hAnsi="Times New Roman" w:cs="Times New Roman"/>
          <w:sz w:val="24"/>
          <w:szCs w:val="24"/>
        </w:rPr>
      </w:pPr>
      <w:r>
        <w:rPr>
          <w:rFonts w:hint="default" w:ascii="Times New Roman" w:hAnsi="Times New Roman" w:cs="Times New Roman"/>
          <w:sz w:val="24"/>
          <w:szCs w:val="24"/>
        </w:rPr>
        <w:t>Поставщик обязуется обеспечить внесение в накладную на Товар, упаковочный лист, иные товаросопроводительные документы, а также в счет-фактуру, сведения, указанные в соответствующей Заявке на поставку к Договору, в том числе номер Заявки на поставку. В счет-фактуре Поставщик обязан указать номер товаротранспортных и товаросопроводительных документов (номер железнодорожной накладной/товарно-транспортной накладной/накладной ТОРГ-12 или универсального передаточного документа (УПД)), а также наименование Товара в соответствии с наименованием, указанным в Заявке на поставку в столбце «Наименование Товара». В случае отсутствия такой информации в указанных документах Поставщик выплачивает Покупателю штраф в размере 500 рублей за каждый такой факт;</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2.1.3. Передать Покупателю Товар свободный от любых прав третьих лиц, </w:t>
      </w:r>
      <w:r>
        <w:rPr>
          <w:rFonts w:hint="default" w:ascii="Times New Roman" w:hAnsi="Times New Roman" w:cs="Times New Roman"/>
          <w:color w:val="000000"/>
          <w:sz w:val="24"/>
          <w:szCs w:val="24"/>
        </w:rPr>
        <w:t>не заложенный, под запретом или арестом не состоящий;</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2.1.4. Передать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2.1.5. Передать Товар в оригинальной упаковке либо упаковке и таре, согласованной Сторонами в Приложении;</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2.1.6.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2.1.7.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pPr>
        <w:contextualSpacing/>
        <w:jc w:val="both"/>
        <w:outlineLvl w:val="1"/>
        <w:rPr>
          <w:rFonts w:hint="default" w:ascii="Times New Roman" w:hAnsi="Times New Roman" w:cs="Times New Roman"/>
          <w:i/>
          <w:sz w:val="24"/>
          <w:szCs w:val="24"/>
        </w:rPr>
      </w:pPr>
      <w:r>
        <w:rPr>
          <w:rFonts w:hint="default" w:ascii="Times New Roman" w:hAnsi="Times New Roman" w:cs="Times New Roman"/>
          <w:i/>
          <w:sz w:val="24"/>
          <w:szCs w:val="24"/>
        </w:rPr>
        <w:t xml:space="preserve">2.2. Поставщик вправе: </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2.2.1. Требовать оплату за переданный Товар;</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2.2.2. В случае отказа Покупателя от подписания товарной накладной, требовать представления от Покупателя письменных возражений в сроки, указанные в Разделе 5 Договора.</w:t>
      </w:r>
    </w:p>
    <w:p>
      <w:pPr>
        <w:contextualSpacing/>
        <w:jc w:val="both"/>
        <w:outlineLvl w:val="1"/>
        <w:rPr>
          <w:rFonts w:hint="default" w:ascii="Times New Roman" w:hAnsi="Times New Roman" w:cs="Times New Roman"/>
          <w:i/>
          <w:sz w:val="24"/>
          <w:szCs w:val="24"/>
        </w:rPr>
      </w:pPr>
      <w:r>
        <w:rPr>
          <w:rFonts w:hint="default" w:ascii="Times New Roman" w:hAnsi="Times New Roman" w:cs="Times New Roman"/>
          <w:i/>
          <w:sz w:val="24"/>
          <w:szCs w:val="24"/>
        </w:rPr>
        <w:t>2.3. Покупатель обязан:</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2.3.1. Принять в собственность Товар, либо отказаться от принятия Товара письменно в течение срока, установленного для подписания товарной накладной, указав мотив отказа; </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2.3.2. Оплатить переданный Поставщиком Товар в сроки, установленные Разделом 3 настоящего Договора либо соответствующим Приложением;</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2.3.3. Подписать товарную накладную, либо предоставить мотивированное возражение об отказе от подписания в сроки, установленные в Разделе 5 Договора.</w:t>
      </w:r>
    </w:p>
    <w:p>
      <w:pPr>
        <w:contextualSpacing/>
        <w:jc w:val="both"/>
        <w:outlineLvl w:val="1"/>
        <w:rPr>
          <w:rFonts w:hint="default" w:ascii="Times New Roman" w:hAnsi="Times New Roman" w:cs="Times New Roman"/>
          <w:i/>
          <w:sz w:val="24"/>
          <w:szCs w:val="24"/>
        </w:rPr>
      </w:pPr>
      <w:r>
        <w:rPr>
          <w:rFonts w:hint="default" w:ascii="Times New Roman" w:hAnsi="Times New Roman" w:cs="Times New Roman"/>
          <w:i/>
          <w:sz w:val="24"/>
          <w:szCs w:val="24"/>
        </w:rPr>
        <w:t xml:space="preserve">2.4. Покупатель вправе: </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2.4.1. Требовать предоставления ему Товара надлежащего качества;</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2.4.2. Требовать соблюдения Поставщиком сроков, установленных настоящим Договором/Приложением к нему;</w:t>
      </w:r>
    </w:p>
    <w:p>
      <w:pPr>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2.4.3. Требовать предоставления Товара свободного от любых притязаний третьих лиц;</w:t>
      </w:r>
    </w:p>
    <w:p>
      <w:pPr>
        <w:pStyle w:val="35"/>
        <w:ind w:firstLine="0"/>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2.4.4. 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p>
    <w:p>
      <w:pPr>
        <w:pStyle w:val="35"/>
        <w:ind w:firstLine="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pPr>
        <w:pStyle w:val="35"/>
        <w:ind w:firstLine="0"/>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pPr>
        <w:pStyle w:val="35"/>
        <w:ind w:firstLine="0"/>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2.5.2. Потребовать замены Товара ненадлежащего качества Товаром, соответствующим Договору (Приложению).</w:t>
      </w:r>
    </w:p>
    <w:p>
      <w:pPr>
        <w:pStyle w:val="35"/>
        <w:ind w:firstLine="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pPr>
        <w:pStyle w:val="35"/>
        <w:ind w:firstLine="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2.7. В случае передачи Товара в меньшем или большем количестве, чем предусмотрено п. 1.2 Договора, Покупатель вправе по своему выбору:</w:t>
      </w:r>
    </w:p>
    <w:p>
      <w:pPr>
        <w:pStyle w:val="35"/>
        <w:ind w:firstLine="0"/>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2.7.1. Потребовать от Поставщика поставить недостающее либо забрать не предусмотренное Приложениями количество Товара;</w:t>
      </w:r>
    </w:p>
    <w:p>
      <w:pPr>
        <w:pStyle w:val="35"/>
        <w:ind w:firstLine="0"/>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2.7.2. Отказаться от переданного Товара и от его оплаты;</w:t>
      </w:r>
    </w:p>
    <w:p>
      <w:pPr>
        <w:pStyle w:val="35"/>
        <w:ind w:firstLine="0"/>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2.7.3. Отказаться от недопоставленного Товара.</w:t>
      </w:r>
    </w:p>
    <w:p>
      <w:pPr>
        <w:pStyle w:val="35"/>
        <w:ind w:firstLine="0"/>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2.8. Покупатель вправе в любое время отказаться от исполнения настоящего Договора, предварительно направив Поставщику уведомление за 10 календарных дней до предполагаемой даты отказа. </w:t>
      </w:r>
    </w:p>
    <w:p>
      <w:pPr>
        <w:pStyle w:val="35"/>
        <w:ind w:firstLine="0"/>
        <w:contextualSpacing/>
        <w:jc w:val="both"/>
        <w:rPr>
          <w:rFonts w:hint="default" w:ascii="Times New Roman" w:hAnsi="Times New Roman" w:cs="Times New Roman"/>
          <w:sz w:val="24"/>
          <w:szCs w:val="24"/>
        </w:rPr>
      </w:pPr>
    </w:p>
    <w:p>
      <w:pPr>
        <w:contextualSpacing/>
        <w:jc w:val="center"/>
        <w:outlineLvl w:val="0"/>
        <w:rPr>
          <w:rFonts w:hint="default" w:ascii="Times New Roman" w:hAnsi="Times New Roman" w:cs="Times New Roman"/>
          <w:b/>
          <w:sz w:val="24"/>
          <w:szCs w:val="24"/>
        </w:rPr>
      </w:pPr>
      <w:r>
        <w:rPr>
          <w:rFonts w:hint="default" w:ascii="Times New Roman" w:hAnsi="Times New Roman" w:cs="Times New Roman"/>
          <w:b/>
          <w:sz w:val="24"/>
          <w:szCs w:val="24"/>
        </w:rPr>
        <w:t>3. Цена и порядок расчетов по Договору</w:t>
      </w:r>
    </w:p>
    <w:p>
      <w:pPr>
        <w:numPr>
          <w:ilvl w:val="0"/>
          <w:numId w:val="4"/>
        </w:numPr>
        <w:tabs>
          <w:tab w:val="left" w:pos="540"/>
          <w:tab w:val="clear" w:pos="851"/>
        </w:tabs>
        <w:ind w:left="0" w:firstLine="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Общая цена Договора определяется Приложениями к Договору, подписываемыми Сторонами по форме согласно Приложению № 1 к Договору.</w:t>
      </w:r>
    </w:p>
    <w:p>
      <w:pPr>
        <w:pStyle w:val="17"/>
        <w:tabs>
          <w:tab w:val="left" w:pos="540"/>
        </w:tabs>
        <w:spacing w:after="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pPr>
        <w:numPr>
          <w:ilvl w:val="0"/>
          <w:numId w:val="4"/>
        </w:numPr>
        <w:tabs>
          <w:tab w:val="left" w:pos="540"/>
          <w:tab w:val="clear" w:pos="851"/>
        </w:tabs>
        <w:ind w:left="0" w:firstLine="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pPr>
        <w:numPr>
          <w:ilvl w:val="0"/>
          <w:numId w:val="4"/>
        </w:numPr>
        <w:tabs>
          <w:tab w:val="left" w:pos="540"/>
          <w:tab w:val="clear" w:pos="851"/>
        </w:tabs>
        <w:autoSpaceDE w:val="0"/>
        <w:autoSpaceDN w:val="0"/>
        <w:ind w:left="0" w:firstLine="0"/>
        <w:contextualSpacing/>
        <w:jc w:val="both"/>
        <w:outlineLvl w:val="1"/>
        <w:rPr>
          <w:rFonts w:hint="default" w:ascii="Times New Roman" w:hAnsi="Times New Roman" w:cs="Times New Roman"/>
          <w:color w:val="000000"/>
          <w:sz w:val="24"/>
          <w:szCs w:val="24"/>
          <w:lang w:eastAsia="zh-CN"/>
        </w:rPr>
      </w:pPr>
      <w:r>
        <w:rPr>
          <w:rFonts w:hint="default" w:ascii="Times New Roman" w:hAnsi="Times New Roman" w:cs="Times New Roman"/>
          <w:sz w:val="24"/>
          <w:szCs w:val="24"/>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pPr>
        <w:numPr>
          <w:ilvl w:val="0"/>
          <w:numId w:val="4"/>
        </w:numPr>
        <w:tabs>
          <w:tab w:val="left" w:pos="540"/>
          <w:tab w:val="clear" w:pos="851"/>
        </w:tabs>
        <w:autoSpaceDE w:val="0"/>
        <w:autoSpaceDN w:val="0"/>
        <w:ind w:left="0" w:firstLine="0"/>
        <w:contextualSpacing/>
        <w:jc w:val="both"/>
        <w:outlineLvl w:val="1"/>
        <w:rPr>
          <w:rFonts w:hint="default" w:ascii="Times New Roman" w:hAnsi="Times New Roman" w:cs="Times New Roman"/>
          <w:color w:val="000000"/>
          <w:sz w:val="24"/>
          <w:szCs w:val="24"/>
          <w:lang w:eastAsia="zh-CN"/>
        </w:rPr>
      </w:pPr>
      <w:r>
        <w:rPr>
          <w:rFonts w:hint="default" w:ascii="Times New Roman" w:hAnsi="Times New Roman" w:cs="Times New Roman"/>
          <w:color w:val="000000"/>
          <w:sz w:val="24"/>
          <w:szCs w:val="24"/>
          <w:lang w:eastAsia="zh-CN"/>
        </w:rPr>
        <w:t>Оплата по настоящему Договору производится Заказчиком, в следующем порядке:</w:t>
      </w:r>
    </w:p>
    <w:p>
      <w:pPr>
        <w:pStyle w:val="17"/>
        <w:tabs>
          <w:tab w:val="left" w:pos="540"/>
        </w:tabs>
        <w:spacing w:after="0"/>
        <w:contextualSpacing/>
        <w:jc w:val="both"/>
        <w:outlineLvl w:val="1"/>
        <w:rPr>
          <w:rFonts w:hint="default" w:ascii="Times New Roman" w:hAnsi="Times New Roman" w:cs="Times New Roman"/>
          <w:color w:val="auto"/>
          <w:sz w:val="24"/>
          <w:szCs w:val="24"/>
        </w:rPr>
      </w:pPr>
      <w:r>
        <w:rPr>
          <w:rFonts w:hint="default" w:ascii="Times New Roman" w:hAnsi="Times New Roman" w:cs="Times New Roman"/>
          <w:color w:val="000000"/>
          <w:sz w:val="24"/>
          <w:szCs w:val="24"/>
          <w:lang w:eastAsia="zh-CN"/>
        </w:rPr>
        <w:t xml:space="preserve">- аванс в размере 30 % от цены Договора, что составляет __________ руб. (__________________________________ рублей ___ копеек), в том числе НДС 20% __________ руб. (__________________________________ рублей _______ копеек) в течение </w:t>
      </w:r>
      <w:r>
        <w:rPr>
          <w:rFonts w:hint="default" w:ascii="Times New Roman" w:hAnsi="Times New Roman" w:cs="Times New Roman"/>
          <w:color w:val="000000"/>
          <w:sz w:val="24"/>
          <w:szCs w:val="24"/>
          <w:lang w:val="ru-RU" w:eastAsia="zh-CN"/>
        </w:rPr>
        <w:t>5</w:t>
      </w:r>
      <w:r>
        <w:rPr>
          <w:rFonts w:hint="default" w:ascii="Times New Roman" w:hAnsi="Times New Roman" w:cs="Times New Roman"/>
          <w:color w:val="000000"/>
          <w:sz w:val="24"/>
          <w:szCs w:val="24"/>
          <w:lang w:eastAsia="zh-CN"/>
        </w:rPr>
        <w:t xml:space="preserve"> (</w:t>
      </w:r>
      <w:r>
        <w:rPr>
          <w:rFonts w:hint="default" w:ascii="Times New Roman" w:hAnsi="Times New Roman" w:cs="Times New Roman"/>
          <w:color w:val="000000"/>
          <w:sz w:val="24"/>
          <w:szCs w:val="24"/>
          <w:lang w:val="ru-RU" w:eastAsia="zh-CN"/>
        </w:rPr>
        <w:t>пяти</w:t>
      </w:r>
      <w:r>
        <w:rPr>
          <w:rFonts w:hint="default" w:ascii="Times New Roman" w:hAnsi="Times New Roman" w:cs="Times New Roman"/>
          <w:color w:val="000000"/>
          <w:sz w:val="24"/>
          <w:szCs w:val="24"/>
          <w:lang w:eastAsia="zh-CN"/>
        </w:rPr>
        <w:t xml:space="preserve">) </w:t>
      </w:r>
      <w:r>
        <w:rPr>
          <w:rFonts w:hint="default" w:ascii="Times New Roman" w:hAnsi="Times New Roman" w:cs="Times New Roman"/>
          <w:color w:val="000000"/>
          <w:sz w:val="24"/>
          <w:szCs w:val="24"/>
          <w:lang w:val="ru-RU" w:eastAsia="zh-CN"/>
        </w:rPr>
        <w:t>банковских</w:t>
      </w:r>
      <w:r>
        <w:rPr>
          <w:rFonts w:hint="default" w:ascii="Times New Roman" w:hAnsi="Times New Roman" w:cs="Times New Roman"/>
          <w:color w:val="000000"/>
          <w:sz w:val="24"/>
          <w:szCs w:val="24"/>
          <w:lang w:eastAsia="zh-CN"/>
        </w:rPr>
        <w:t xml:space="preserve"> дней с даты подписания Договора, </w:t>
      </w:r>
      <w:r>
        <w:rPr>
          <w:rFonts w:hint="default" w:ascii="Times New Roman" w:hAnsi="Times New Roman" w:cs="Times New Roman"/>
          <w:color w:val="auto"/>
          <w:sz w:val="24"/>
          <w:szCs w:val="24"/>
        </w:rPr>
        <w:t xml:space="preserve">окончательный расчет по Договору осуществляется Покупателем после подписания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Pr>
          <w:rFonts w:hint="default" w:ascii="Times New Roman" w:hAnsi="Times New Roman" w:cs="Times New Roman"/>
          <w:sz w:val="24"/>
          <w:szCs w:val="24"/>
        </w:rPr>
        <w:t>банковских</w:t>
      </w:r>
      <w:r>
        <w:rPr>
          <w:rFonts w:hint="default" w:ascii="Times New Roman" w:hAnsi="Times New Roman" w:cs="Times New Roman"/>
          <w:color w:val="auto"/>
          <w:sz w:val="24"/>
          <w:szCs w:val="24"/>
        </w:rPr>
        <w:t xml:space="preserve"> дней с момента подписания товарной накладной. </w:t>
      </w:r>
    </w:p>
    <w:p>
      <w:pPr>
        <w:pStyle w:val="36"/>
        <w:ind w:left="0" w:firstLine="0"/>
        <w:contextualSpacing/>
        <w:outlineLvl w:val="1"/>
        <w:rPr>
          <w:rFonts w:hint="default" w:ascii="Times New Roman" w:hAnsi="Times New Roman" w:cs="Times New Roman"/>
          <w:sz w:val="24"/>
          <w:szCs w:val="24"/>
        </w:rPr>
      </w:pPr>
      <w:r>
        <w:rPr>
          <w:rFonts w:hint="default" w:ascii="Times New Roman" w:hAnsi="Times New Roman" w:cs="Times New Roman"/>
          <w:color w:val="auto"/>
          <w:sz w:val="24"/>
          <w:szCs w:val="24"/>
        </w:rPr>
        <w:t xml:space="preserve">Покупатель обязан осуществить оплату выставленного Поставщиком счета в течение </w:t>
      </w:r>
      <w:r>
        <w:rPr>
          <w:rFonts w:hint="default" w:ascii="Times New Roman" w:hAnsi="Times New Roman" w:cs="Times New Roman"/>
          <w:color w:val="auto"/>
          <w:sz w:val="24"/>
          <w:szCs w:val="24"/>
          <w:lang w:val="ru-RU"/>
        </w:rPr>
        <w:t>20</w:t>
      </w:r>
      <w:r>
        <w:rPr>
          <w:rFonts w:hint="default" w:ascii="Times New Roman" w:hAnsi="Times New Roman" w:cs="Times New Roman"/>
          <w:color w:val="auto"/>
          <w:sz w:val="24"/>
          <w:szCs w:val="24"/>
          <w:highlight w:val="yellow"/>
        </w:rPr>
        <w:t xml:space="preserve"> (</w:t>
      </w:r>
      <w:r>
        <w:rPr>
          <w:rFonts w:hint="default" w:ascii="Times New Roman" w:hAnsi="Times New Roman" w:cs="Times New Roman"/>
          <w:color w:val="auto"/>
          <w:sz w:val="24"/>
          <w:szCs w:val="24"/>
          <w:highlight w:val="yellow"/>
          <w:lang w:val="ru-RU"/>
        </w:rPr>
        <w:t>двадцати</w:t>
      </w:r>
      <w:r>
        <w:rPr>
          <w:rFonts w:hint="default" w:ascii="Times New Roman" w:hAnsi="Times New Roman" w:cs="Times New Roman"/>
          <w:color w:val="auto"/>
          <w:sz w:val="24"/>
          <w:szCs w:val="24"/>
          <w:highlight w:val="yellow"/>
        </w:rPr>
        <w:t>)</w:t>
      </w:r>
      <w:r>
        <w:rPr>
          <w:rFonts w:hint="default" w:ascii="Times New Roman" w:hAnsi="Times New Roman" w:cs="Times New Roman"/>
          <w:color w:val="auto"/>
          <w:sz w:val="24"/>
          <w:szCs w:val="24"/>
        </w:rPr>
        <w:t xml:space="preserve"> </w:t>
      </w:r>
      <w:r>
        <w:rPr>
          <w:rFonts w:hint="default" w:ascii="Times New Roman" w:hAnsi="Times New Roman" w:cs="Times New Roman"/>
          <w:sz w:val="24"/>
          <w:szCs w:val="24"/>
        </w:rPr>
        <w:t>банковских</w:t>
      </w:r>
      <w:r>
        <w:rPr>
          <w:rFonts w:hint="default" w:ascii="Times New Roman" w:hAnsi="Times New Roman" w:cs="Times New Roman"/>
          <w:color w:val="auto"/>
          <w:sz w:val="24"/>
          <w:szCs w:val="24"/>
        </w:rPr>
        <w:t xml:space="preserve"> дней после его предъявления Продавцом при наличии оригинала счета-фактуры, оформленного в соответствии с требованиями законодательства. </w:t>
      </w:r>
      <w:r>
        <w:rPr>
          <w:rFonts w:hint="default" w:ascii="Times New Roman" w:hAnsi="Times New Roman" w:cs="Times New Roman"/>
          <w:sz w:val="24"/>
          <w:szCs w:val="24"/>
          <w:highlight w:val="yellow"/>
        </w:rPr>
        <w:t>В случае если Поставщик является субъектом малого и среднего предпринимательства, Покупатель обязан осуществить оплату выставленного Поставщиком счета в течение_</w:t>
      </w:r>
      <w:r>
        <w:rPr>
          <w:rFonts w:hint="default" w:ascii="Times New Roman" w:hAnsi="Times New Roman" w:cs="Times New Roman"/>
          <w:sz w:val="24"/>
          <w:szCs w:val="24"/>
          <w:highlight w:val="yellow"/>
          <w:lang w:val="ru-RU"/>
        </w:rPr>
        <w:t>7</w:t>
      </w:r>
      <w:r>
        <w:rPr>
          <w:rFonts w:hint="default" w:ascii="Times New Roman" w:hAnsi="Times New Roman" w:cs="Times New Roman"/>
          <w:sz w:val="24"/>
          <w:szCs w:val="24"/>
          <w:highlight w:val="yellow"/>
        </w:rPr>
        <w:t>_(</w:t>
      </w:r>
      <w:r>
        <w:rPr>
          <w:rFonts w:hint="default" w:ascii="Times New Roman" w:hAnsi="Times New Roman" w:cs="Times New Roman"/>
          <w:sz w:val="24"/>
          <w:szCs w:val="24"/>
          <w:highlight w:val="yellow"/>
          <w:lang w:val="ru-RU"/>
        </w:rPr>
        <w:t>семи</w:t>
      </w:r>
      <w:r>
        <w:rPr>
          <w:rFonts w:hint="default" w:ascii="Times New Roman" w:hAnsi="Times New Roman" w:cs="Times New Roman"/>
          <w:sz w:val="24"/>
          <w:szCs w:val="24"/>
          <w:highlight w:val="yellow"/>
        </w:rPr>
        <w:t>) рабочих дней</w:t>
      </w:r>
      <w:r>
        <w:rPr>
          <w:rFonts w:hint="default" w:ascii="Times New Roman" w:hAnsi="Times New Roman" w:cs="Times New Roman"/>
          <w:sz w:val="24"/>
          <w:szCs w:val="24"/>
        </w:rPr>
        <w:t xml:space="preserve"> после получения Товара и подписания торной накладной при наличии оригинала счета-фактуры, оформленного в соответствии с требованиями законодательства и настоящего Договора.</w:t>
      </w:r>
    </w:p>
    <w:p>
      <w:pPr>
        <w:pStyle w:val="36"/>
        <w:numPr>
          <w:ilvl w:val="0"/>
          <w:numId w:val="4"/>
        </w:numPr>
        <w:tabs>
          <w:tab w:val="left" w:pos="540"/>
          <w:tab w:val="clear" w:pos="851"/>
        </w:tabs>
        <w:ind w:left="0" w:firstLine="0"/>
        <w:contextualSpacing/>
        <w:outlineLvl w:val="1"/>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Проценты, предусмотренные статьей 317.1 Гражданского кодекса Российской Федерации, </w:t>
      </w:r>
      <w:r>
        <w:rPr>
          <w:rFonts w:hint="default" w:ascii="Times New Roman" w:hAnsi="Times New Roman" w:cs="Times New Roman"/>
          <w:color w:val="auto"/>
          <w:sz w:val="24"/>
          <w:szCs w:val="24"/>
        </w:rPr>
        <w:br w:type="textWrapping"/>
      </w:r>
      <w:r>
        <w:rPr>
          <w:rFonts w:hint="default" w:ascii="Times New Roman" w:hAnsi="Times New Roman" w:cs="Times New Roman"/>
          <w:color w:val="auto"/>
          <w:sz w:val="24"/>
          <w:szCs w:val="24"/>
        </w:rPr>
        <w:t xml:space="preserve">на сумму долга за период пользования денежными средствами, возникшего у любой из Сторон, </w:t>
      </w:r>
      <w:r>
        <w:rPr>
          <w:rFonts w:hint="default" w:ascii="Times New Roman" w:hAnsi="Times New Roman" w:cs="Times New Roman"/>
          <w:color w:val="auto"/>
          <w:sz w:val="24"/>
          <w:szCs w:val="24"/>
        </w:rPr>
        <w:br w:type="textWrapping"/>
      </w:r>
      <w:r>
        <w:rPr>
          <w:rFonts w:hint="default" w:ascii="Times New Roman" w:hAnsi="Times New Roman" w:cs="Times New Roman"/>
          <w:color w:val="auto"/>
          <w:sz w:val="24"/>
          <w:szCs w:val="24"/>
        </w:rPr>
        <w:t>не начисляются и уплате не подлежат.</w:t>
      </w:r>
    </w:p>
    <w:p>
      <w:pPr>
        <w:pStyle w:val="36"/>
        <w:numPr>
          <w:ilvl w:val="0"/>
          <w:numId w:val="4"/>
        </w:numPr>
        <w:tabs>
          <w:tab w:val="left" w:pos="540"/>
          <w:tab w:val="clear" w:pos="851"/>
        </w:tabs>
        <w:ind w:left="0" w:firstLine="0"/>
        <w:contextualSpacing/>
        <w:outlineLvl w:val="1"/>
        <w:rPr>
          <w:rFonts w:hint="default" w:ascii="Times New Roman" w:hAnsi="Times New Roman" w:cs="Times New Roman"/>
          <w:color w:val="auto"/>
          <w:sz w:val="24"/>
          <w:szCs w:val="24"/>
        </w:rPr>
      </w:pPr>
      <w:r>
        <w:rPr>
          <w:rFonts w:hint="default" w:ascii="Times New Roman" w:hAnsi="Times New Roman" w:cs="Times New Roman"/>
          <w:color w:val="auto"/>
          <w:sz w:val="24"/>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электронной почте.</w:t>
      </w:r>
    </w:p>
    <w:p>
      <w:pPr>
        <w:pStyle w:val="36"/>
        <w:tabs>
          <w:tab w:val="left" w:pos="540"/>
        </w:tabs>
        <w:ind w:left="0" w:firstLine="0"/>
        <w:contextualSpacing/>
        <w:outlineLvl w:val="1"/>
        <w:rPr>
          <w:rFonts w:hint="default" w:ascii="Times New Roman" w:hAnsi="Times New Roman" w:cs="Times New Roman"/>
          <w:color w:val="auto"/>
          <w:sz w:val="24"/>
          <w:szCs w:val="24"/>
        </w:rPr>
      </w:pPr>
      <w:r>
        <w:rPr>
          <w:rFonts w:hint="default" w:ascii="Times New Roman" w:hAnsi="Times New Roman" w:cs="Times New Roman"/>
          <w:color w:val="auto"/>
          <w:sz w:val="24"/>
          <w:szCs w:val="24"/>
        </w:rPr>
        <w:t>В случае просрочки предоставления документов, необходимых для осуществления расчетов, Покупатель вправе увеличить срок</w:t>
      </w:r>
      <w:r>
        <w:rPr>
          <w:rFonts w:hint="default" w:ascii="Times New Roman" w:hAnsi="Times New Roman" w:cs="Times New Roman"/>
          <w:color w:val="FF0000"/>
          <w:sz w:val="24"/>
          <w:szCs w:val="24"/>
        </w:rPr>
        <w:t xml:space="preserve"> </w:t>
      </w:r>
      <w:r>
        <w:rPr>
          <w:rFonts w:hint="default" w:ascii="Times New Roman" w:hAnsi="Times New Roman" w:cs="Times New Roman"/>
          <w:color w:val="auto"/>
          <w:sz w:val="24"/>
          <w:szCs w:val="24"/>
        </w:rPr>
        <w:t>оплаты поставленного Товара соразмерно времени просрочки предоставления всех документов.</w:t>
      </w:r>
    </w:p>
    <w:p>
      <w:pPr>
        <w:pStyle w:val="36"/>
        <w:numPr>
          <w:ilvl w:val="0"/>
          <w:numId w:val="5"/>
        </w:numPr>
        <w:tabs>
          <w:tab w:val="left" w:pos="540"/>
          <w:tab w:val="clear" w:pos="851"/>
        </w:tabs>
        <w:ind w:left="0" w:firstLine="0"/>
        <w:contextualSpacing/>
        <w:outlineLvl w:val="1"/>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настоящим Договором, в течение ___ (__________) </w:t>
      </w:r>
      <w:r>
        <w:rPr>
          <w:rFonts w:hint="default" w:ascii="Times New Roman" w:hAnsi="Times New Roman" w:cs="Times New Roman"/>
          <w:sz w:val="24"/>
          <w:szCs w:val="24"/>
        </w:rPr>
        <w:t>банковских</w:t>
      </w:r>
      <w:r>
        <w:rPr>
          <w:rFonts w:hint="default" w:ascii="Times New Roman" w:hAnsi="Times New Roman" w:cs="Times New Roman"/>
          <w:color w:val="auto"/>
          <w:sz w:val="24"/>
          <w:szCs w:val="24"/>
        </w:rPr>
        <w:t xml:space="preserve"> дней с даты наступления срока поставки Товара в соответствии с графиком поставки. Покупатель оставляет за собой право произвести оплату Товара досрочно.</w:t>
      </w:r>
    </w:p>
    <w:p>
      <w:pPr>
        <w:contextualSpacing/>
        <w:jc w:val="center"/>
        <w:rPr>
          <w:rFonts w:hint="default" w:ascii="Times New Roman" w:hAnsi="Times New Roman" w:cs="Times New Roman"/>
          <w:b/>
          <w:color w:val="FF0000"/>
          <w:sz w:val="24"/>
          <w:szCs w:val="24"/>
        </w:rPr>
      </w:pPr>
    </w:p>
    <w:p>
      <w:pPr>
        <w:contextualSpacing/>
        <w:jc w:val="center"/>
        <w:outlineLvl w:val="0"/>
        <w:rPr>
          <w:rFonts w:hint="default" w:ascii="Times New Roman" w:hAnsi="Times New Roman" w:cs="Times New Roman"/>
          <w:b/>
          <w:sz w:val="24"/>
          <w:szCs w:val="24"/>
        </w:rPr>
      </w:pPr>
      <w:r>
        <w:rPr>
          <w:rFonts w:hint="default" w:ascii="Times New Roman" w:hAnsi="Times New Roman" w:cs="Times New Roman"/>
          <w:b/>
          <w:sz w:val="24"/>
          <w:szCs w:val="24"/>
        </w:rPr>
        <w:t>4. Условия поставки Товара</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Поставка Товара осуществляется на условиях</w:t>
      </w:r>
    </w:p>
    <w:p>
      <w:pPr>
        <w:widowControl w:val="0"/>
        <w:tabs>
          <w:tab w:val="left" w:pos="851"/>
        </w:tabs>
        <w:contextualSpacing/>
        <w:jc w:val="both"/>
        <w:outlineLvl w:val="1"/>
        <w:rPr>
          <w:rFonts w:hint="default" w:ascii="Times New Roman" w:hAnsi="Times New Roman" w:cs="Times New Roman"/>
          <w:b/>
          <w:bCs/>
          <w:sz w:val="24"/>
          <w:szCs w:val="24"/>
        </w:rPr>
      </w:pPr>
      <w:r>
        <w:rPr>
          <w:rFonts w:hint="default" w:ascii="Times New Roman" w:hAnsi="Times New Roman" w:cs="Times New Roman"/>
          <w:bCs/>
          <w:sz w:val="24"/>
          <w:szCs w:val="24"/>
        </w:rPr>
        <w:t xml:space="preserve">4.1. </w:t>
      </w:r>
      <w:r>
        <w:rPr>
          <w:rFonts w:hint="default" w:ascii="Times New Roman" w:hAnsi="Times New Roman" w:cs="Times New Roman"/>
          <w:b/>
          <w:bCs/>
          <w:sz w:val="24"/>
          <w:szCs w:val="24"/>
        </w:rPr>
        <w:t>Базис поставки - пункт назначения</w:t>
      </w:r>
    </w:p>
    <w:p>
      <w:pPr>
        <w:widowControl w:val="0"/>
        <w:tabs>
          <w:tab w:val="left" w:pos="0"/>
        </w:tabs>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pPr>
        <w:widowControl w:val="0"/>
        <w:tabs>
          <w:tab w:val="left" w:pos="0"/>
        </w:tabs>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pPr>
        <w:widowControl w:val="0"/>
        <w:tabs>
          <w:tab w:val="left" w:pos="0"/>
        </w:tabs>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Под пунктом назначения понимается:</w:t>
      </w:r>
    </w:p>
    <w:p>
      <w:pPr>
        <w:widowControl w:val="0"/>
        <w:tabs>
          <w:tab w:val="left" w:pos="0"/>
        </w:tabs>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при поставке Товара железнодорожным транспортом – станция назначения по реквизитам Грузополучателя Товара, указанным в Приложениях;</w:t>
      </w:r>
    </w:p>
    <w:p>
      <w:pPr>
        <w:widowControl w:val="0"/>
        <w:tabs>
          <w:tab w:val="left" w:pos="0"/>
        </w:tabs>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при поставке Товара автомобильным транспортом – склад Грузополучателя по реквизитам, указанным в Приложениях;</w:t>
      </w:r>
    </w:p>
    <w:p>
      <w:pPr>
        <w:widowControl w:val="0"/>
        <w:tabs>
          <w:tab w:val="left" w:pos="0"/>
        </w:tabs>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при поставке Товара авиатранспортом – аэропорт места назначения по реквизитам Грузополучателя Товара, указанным в Приложениях.</w:t>
      </w:r>
    </w:p>
    <w:p>
      <w:pPr>
        <w:widowControl w:val="0"/>
        <w:tabs>
          <w:tab w:val="left" w:pos="851"/>
        </w:tabs>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pPr>
        <w:widowControl w:val="0"/>
        <w:tabs>
          <w:tab w:val="left" w:pos="851"/>
        </w:tabs>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pPr>
        <w:widowControl w:val="0"/>
        <w:tabs>
          <w:tab w:val="left" w:pos="851"/>
        </w:tabs>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При отгрузке Товара железнодорожным транспортом Поставщик обязан проинформировать Покупателя по электронной почте, указанной в разделе 13 настоящего Договора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pPr>
        <w:widowControl w:val="0"/>
        <w:tabs>
          <w:tab w:val="left" w:pos="851"/>
        </w:tabs>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При отгрузке Товара иным видом транспорта Поставщик обязан в течение двух суток с даты отгрузки проинформировать Покупателя по электронной почте, указанной в разделе 13 настоящего Договора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pPr>
        <w:widowControl w:val="0"/>
        <w:tabs>
          <w:tab w:val="left" w:pos="851"/>
        </w:tabs>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Контактные сведения указываются в Приложениях. </w:t>
      </w:r>
    </w:p>
    <w:p>
      <w:pPr>
        <w:widowControl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pPr>
        <w:widowControl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pPr>
        <w:widowControl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pPr>
        <w:contextualSpacing/>
        <w:jc w:val="both"/>
        <w:outlineLvl w:val="1"/>
        <w:rPr>
          <w:rFonts w:hint="default" w:ascii="Times New Roman" w:hAnsi="Times New Roman" w:cs="Times New Roman"/>
          <w:bCs/>
          <w:sz w:val="24"/>
          <w:szCs w:val="24"/>
        </w:rPr>
      </w:pPr>
      <w:r>
        <w:rPr>
          <w:rFonts w:hint="default" w:ascii="Times New Roman" w:hAnsi="Times New Roman" w:cs="Times New Roman"/>
          <w:bCs/>
          <w:sz w:val="24"/>
          <w:szCs w:val="24"/>
        </w:rPr>
        <w:t xml:space="preserve">4.5. Досрочная поставка Товара может производиться только с предварительного письменного согласия Покупателя. </w:t>
      </w:r>
    </w:p>
    <w:p>
      <w:pPr>
        <w:contextualSpacing/>
        <w:rPr>
          <w:rFonts w:hint="default" w:ascii="Times New Roman" w:hAnsi="Times New Roman" w:cs="Times New Roman"/>
          <w:b/>
          <w:sz w:val="24"/>
          <w:szCs w:val="24"/>
        </w:rPr>
      </w:pPr>
    </w:p>
    <w:p>
      <w:pPr>
        <w:contextualSpacing/>
        <w:jc w:val="center"/>
        <w:outlineLvl w:val="0"/>
        <w:rPr>
          <w:rFonts w:hint="default" w:ascii="Times New Roman" w:hAnsi="Times New Roman" w:cs="Times New Roman"/>
          <w:b/>
          <w:sz w:val="24"/>
          <w:szCs w:val="24"/>
        </w:rPr>
      </w:pPr>
      <w:r>
        <w:rPr>
          <w:rFonts w:hint="default" w:ascii="Times New Roman" w:hAnsi="Times New Roman" w:cs="Times New Roman"/>
          <w:b/>
          <w:sz w:val="24"/>
          <w:szCs w:val="24"/>
        </w:rPr>
        <w:t>5. Сроки исполнения обязательств и порядок приема-передачи Товара</w:t>
      </w:r>
    </w:p>
    <w:p>
      <w:pPr>
        <w:autoSpaceDE w:val="0"/>
        <w:autoSpaceDN w:val="0"/>
        <w:adjustRightInd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5.1. Поставщик обязуется осуществить поставку Товара в течение срока действия Договора в соответствии с Приложениями к Договору.</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5.2. Покупатель обязан в течение 10 (десяти) банковских дней с момента предоставления Поставщиком товарной накладной подписать ее, либо направить в адрес Поставщика письменные мотивированные возражения об отказе от подписания документов (любого из указанных документов).</w:t>
      </w:r>
    </w:p>
    <w:p>
      <w:pPr>
        <w:shd w:val="clear" w:color="auto" w:fill="FFFFFF"/>
        <w:contextualSpacing/>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pPr>
        <w:shd w:val="clear" w:color="auto" w:fill="FFFFFF"/>
        <w:contextualSpacing/>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pPr>
        <w:shd w:val="clear" w:color="auto" w:fill="FFFFFF"/>
        <w:tabs>
          <w:tab w:val="left" w:pos="974"/>
        </w:tabs>
        <w:contextualSpacing/>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Стоимость услуг за хранение Товара составляет 0,1% от стоимости поставленного Товара, за каждый день хранения некачественного/некомплектного Товара.</w:t>
      </w:r>
    </w:p>
    <w:p>
      <w:pPr>
        <w:shd w:val="clear" w:color="auto" w:fill="FFFFFF"/>
        <w:tabs>
          <w:tab w:val="left" w:pos="974"/>
        </w:tabs>
        <w:contextualSpacing/>
        <w:jc w:val="both"/>
        <w:rPr>
          <w:rFonts w:hint="default" w:ascii="Times New Roman" w:hAnsi="Times New Roman" w:cs="Times New Roman"/>
          <w:sz w:val="24"/>
          <w:szCs w:val="24"/>
        </w:rPr>
      </w:pPr>
      <w:r>
        <w:rPr>
          <w:rFonts w:hint="default" w:ascii="Times New Roman" w:hAnsi="Times New Roman" w:cs="Times New Roman"/>
          <w:color w:val="000000"/>
          <w:sz w:val="24"/>
          <w:szCs w:val="24"/>
        </w:rPr>
        <w:t>Уведомление о вызове представителя Поставщика должно быть направлено (передано) ему по телефону, либо по электронной почте. Надлежащим уведомлением Поставщика будет отправка сообщения по любому из номеров телефонов, электронной почты Поставщика, указанных в Разделе «Реквизиты,</w:t>
      </w:r>
      <w:r>
        <w:rPr>
          <w:rFonts w:hint="default" w:ascii="Times New Roman" w:hAnsi="Times New Roman" w:cs="Times New Roman"/>
          <w:bCs/>
          <w:sz w:val="24"/>
          <w:szCs w:val="24"/>
        </w:rPr>
        <w:t xml:space="preserve"> печати и подписи уполномоченных лиц Сторон» настоящего Договора.</w:t>
      </w:r>
    </w:p>
    <w:p>
      <w:pPr>
        <w:shd w:val="clear" w:color="auto" w:fill="FFFFFF"/>
        <w:contextualSpacing/>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Поставщик обязан в течение суток после получения вызова Покупателя (Грузополучателя) сообщить по электронной почте Покупателя, указанной в Разделе «Реквизиты,</w:t>
      </w:r>
      <w:r>
        <w:rPr>
          <w:rFonts w:hint="default" w:ascii="Times New Roman" w:hAnsi="Times New Roman" w:cs="Times New Roman"/>
          <w:bCs/>
          <w:sz w:val="24"/>
          <w:szCs w:val="24"/>
        </w:rPr>
        <w:t xml:space="preserve"> печати и подписи уполномоченных лиц Сторон» настоящего Договора,</w:t>
      </w:r>
      <w:r>
        <w:rPr>
          <w:rFonts w:hint="default" w:ascii="Times New Roman" w:hAnsi="Times New Roman" w:cs="Times New Roman"/>
          <w:color w:val="000000"/>
          <w:sz w:val="24"/>
          <w:szCs w:val="24"/>
        </w:rPr>
        <w:t xml:space="preserve"> о направлении им Представителя для участия в составлении Акта о выявленных недостатках Товара.</w:t>
      </w:r>
    </w:p>
    <w:p>
      <w:pPr>
        <w:shd w:val="clear" w:color="auto" w:fill="FFFFFF"/>
        <w:contextualSpacing/>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pPr>
        <w:shd w:val="clear" w:color="auto" w:fill="FFFFFF"/>
        <w:contextualSpacing/>
        <w:jc w:val="both"/>
        <w:rPr>
          <w:rFonts w:hint="default" w:ascii="Times New Roman" w:hAnsi="Times New Roman" w:cs="Times New Roman"/>
          <w:sz w:val="24"/>
          <w:szCs w:val="24"/>
        </w:rPr>
      </w:pPr>
      <w:r>
        <w:rPr>
          <w:rFonts w:hint="default" w:ascii="Times New Roman" w:hAnsi="Times New Roman" w:cs="Times New Roman"/>
          <w:color w:val="000000"/>
          <w:sz w:val="24"/>
          <w:szCs w:val="24"/>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pPr>
        <w:shd w:val="clear" w:color="auto" w:fill="FFFFFF"/>
        <w:contextualSpacing/>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pPr>
        <w:shd w:val="clear" w:color="auto" w:fill="FFFFFF"/>
        <w:contextualSpacing/>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pPr>
        <w:shd w:val="clear" w:color="auto" w:fill="FFFFFF"/>
        <w:contextualSpacing/>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В случае разногласий о качестве Товара, Поставщик обязан представить Покупателю надлежащие и достаточные доказательства качества Товара, обязанность по доказыванию качества Товара лежит на Поставщике. При этом любая из Сторон вправе обратиться к компетентной независимой экспертной организации. Затраты по привлечению экспертной организации несет Поставщик, за исключением тех случаев, когда в результате экспертизы выявлено соответствие Товара условиям Договора. В этом случае Покупатель возмещает Поставщику документально подтвержденные расходы, связанные с привлечением экспертной организации в течение 20 (двадцати) календарных дней с момента заявления требования Поставщика</w:t>
      </w:r>
    </w:p>
    <w:p>
      <w:pPr>
        <w:shd w:val="clear" w:color="auto" w:fill="FFFFFF"/>
        <w:tabs>
          <w:tab w:val="left" w:pos="965"/>
        </w:tabs>
        <w:contextualSpacing/>
        <w:jc w:val="both"/>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5.5. 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Pr>
          <w:rFonts w:hint="default" w:ascii="Times New Roman" w:hAnsi="Times New Roman" w:cs="Times New Roman"/>
          <w:iCs/>
          <w:color w:val="000000"/>
          <w:sz w:val="24"/>
          <w:szCs w:val="24"/>
        </w:rPr>
        <w:t xml:space="preserve">5.4. </w:t>
      </w:r>
      <w:r>
        <w:rPr>
          <w:rFonts w:hint="default" w:ascii="Times New Roman" w:hAnsi="Times New Roman" w:cs="Times New Roman"/>
          <w:color w:val="000000"/>
          <w:sz w:val="24"/>
          <w:szCs w:val="24"/>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(или в сроки согласованные с Покупателем) обязан произвести замену Товара на качественный и/или допоставить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pPr>
        <w:shd w:val="clear" w:color="auto" w:fill="FFFFFF"/>
        <w:tabs>
          <w:tab w:val="left" w:pos="965"/>
        </w:tabs>
        <w:contextualSpacing/>
        <w:jc w:val="both"/>
        <w:rPr>
          <w:rFonts w:hint="default" w:ascii="Times New Roman" w:hAnsi="Times New Roman" w:cs="Times New Roman"/>
          <w:sz w:val="24"/>
          <w:szCs w:val="24"/>
        </w:rPr>
      </w:pPr>
      <w:r>
        <w:rPr>
          <w:rFonts w:hint="default" w:ascii="Times New Roman" w:hAnsi="Times New Roman" w:cs="Times New Roman"/>
          <w:color w:val="000000"/>
          <w:sz w:val="24"/>
          <w:szCs w:val="24"/>
        </w:rPr>
        <w:t>5.6. В случае если предусмотрено соответствующим Приложением, Товар должен поставляться комплектом.</w:t>
      </w:r>
    </w:p>
    <w:p>
      <w:pPr>
        <w:shd w:val="clear" w:color="auto" w:fill="FFFFFF"/>
        <w:contextualSpacing/>
        <w:jc w:val="both"/>
        <w:rPr>
          <w:rFonts w:hint="default" w:ascii="Times New Roman" w:hAnsi="Times New Roman" w:cs="Times New Roman"/>
          <w:sz w:val="24"/>
          <w:szCs w:val="24"/>
        </w:rPr>
      </w:pPr>
      <w:r>
        <w:rPr>
          <w:rFonts w:hint="default" w:ascii="Times New Roman" w:hAnsi="Times New Roman" w:cs="Times New Roman"/>
          <w:color w:val="000000"/>
          <w:sz w:val="24"/>
          <w:szCs w:val="24"/>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pPr>
        <w:shd w:val="clear" w:color="auto" w:fill="FFFFFF"/>
        <w:contextualSpacing/>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стоимость расходов за хранение Стороны установили в размере 0,1% от стоимости некомплектного Товара, за каждый день хранения такого Товара Покупателем, либо возвращен Поставщику за его счет. Выбор из двух указанных вариантов действия является правом Покупателя.</w:t>
      </w:r>
    </w:p>
    <w:p>
      <w:pPr>
        <w:shd w:val="clear" w:color="auto" w:fill="FFFFFF"/>
        <w:tabs>
          <w:tab w:val="left" w:pos="965"/>
        </w:tabs>
        <w:contextualSpacing/>
        <w:jc w:val="both"/>
        <w:rPr>
          <w:rFonts w:hint="default" w:ascii="Times New Roman" w:hAnsi="Times New Roman" w:cs="Times New Roman"/>
          <w:sz w:val="24"/>
          <w:szCs w:val="24"/>
        </w:rPr>
      </w:pPr>
      <w:r>
        <w:rPr>
          <w:rFonts w:hint="default" w:ascii="Times New Roman" w:hAnsi="Times New Roman" w:cs="Times New Roman"/>
          <w:color w:val="000000"/>
          <w:sz w:val="24"/>
          <w:szCs w:val="24"/>
        </w:rPr>
        <w:t>5.7. В случае если предусмотрено в соответствующем Приложении, Товар должен поставляться в собранном виде.</w:t>
      </w:r>
    </w:p>
    <w:p>
      <w:pPr>
        <w:shd w:val="clear" w:color="auto" w:fill="FFFFFF"/>
        <w:contextualSpacing/>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стоимость хранения Товара устанавливается в размере 0,1% от стоимости несобранного Товара, за каждый день хранения такого Товара Покупателем.</w:t>
      </w:r>
    </w:p>
    <w:p>
      <w:pPr>
        <w:shd w:val="clear" w:color="auto" w:fill="FFFFFF"/>
        <w:contextualSpacing/>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w:t>
      </w:r>
    </w:p>
    <w:p>
      <w:pPr>
        <w:contextualSpacing/>
        <w:jc w:val="both"/>
        <w:rPr>
          <w:rFonts w:hint="default" w:ascii="Times New Roman" w:hAnsi="Times New Roman" w:cs="Times New Roman"/>
          <w:sz w:val="24"/>
          <w:szCs w:val="24"/>
        </w:rPr>
      </w:pPr>
    </w:p>
    <w:p>
      <w:pPr>
        <w:widowControl w:val="0"/>
        <w:ind w:firstLine="709"/>
        <w:contextualSpacing/>
        <w:jc w:val="center"/>
        <w:outlineLvl w:val="0"/>
        <w:rPr>
          <w:rFonts w:hint="default" w:ascii="Times New Roman" w:hAnsi="Times New Roman" w:cs="Times New Roman"/>
          <w:b/>
          <w:sz w:val="24"/>
          <w:szCs w:val="24"/>
        </w:rPr>
      </w:pPr>
      <w:r>
        <w:rPr>
          <w:rFonts w:hint="default" w:ascii="Times New Roman" w:hAnsi="Times New Roman" w:cs="Times New Roman"/>
          <w:b/>
          <w:sz w:val="24"/>
          <w:szCs w:val="24"/>
        </w:rPr>
        <w:t>6. Гарантийные обязательства</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6.1. Поставщик устанавливает на переданный по настоящему договору Товар гарантийный срок равный ___ годам с момента передачи Товара Покупателю и подписания товарной накладной,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bCs/>
          <w:sz w:val="24"/>
          <w:szCs w:val="24"/>
        </w:rPr>
        <w:t xml:space="preserve">6.3. В случае если в течение гарантийного срока будут выявлены недостатки Товара или иное несоответствие </w:t>
      </w:r>
      <w:r>
        <w:rPr>
          <w:rFonts w:hint="default" w:ascii="Times New Roman" w:hAnsi="Times New Roman" w:cs="Times New Roman"/>
          <w:sz w:val="24"/>
          <w:szCs w:val="24"/>
        </w:rPr>
        <w:t xml:space="preserve">качества Товара условиям настоящего Договора и Приложений 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pPr>
        <w:widowControl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Pr>
          <w:rFonts w:hint="default" w:ascii="Times New Roman" w:hAnsi="Times New Roman" w:cs="Times New Roman"/>
          <w:sz w:val="24"/>
          <w:szCs w:val="24"/>
        </w:rPr>
        <w:t>20 (двадцати)</w:t>
      </w:r>
      <w:bookmarkEnd w:id="0"/>
      <w:r>
        <w:rPr>
          <w:rFonts w:hint="default" w:ascii="Times New Roman" w:hAnsi="Times New Roman" w:cs="Times New Roman"/>
          <w:sz w:val="24"/>
          <w:szCs w:val="24"/>
        </w:rPr>
        <w:t xml:space="preserve"> рабочих дней с момента получения Акта о недостатках Товара (либо в сроки, согласованные с Покупателем)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pPr>
        <w:contextualSpacing/>
        <w:jc w:val="both"/>
        <w:outlineLvl w:val="1"/>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pPr>
        <w:contextualSpacing/>
        <w:jc w:val="both"/>
        <w:rPr>
          <w:rFonts w:hint="default" w:ascii="Times New Roman" w:hAnsi="Times New Roman" w:cs="Times New Roman"/>
          <w:color w:val="000000"/>
          <w:sz w:val="24"/>
          <w:szCs w:val="24"/>
        </w:rPr>
      </w:pPr>
    </w:p>
    <w:p>
      <w:pPr>
        <w:contextualSpacing/>
        <w:jc w:val="center"/>
        <w:outlineLvl w:val="0"/>
        <w:rPr>
          <w:rFonts w:hint="default" w:ascii="Times New Roman" w:hAnsi="Times New Roman" w:cs="Times New Roman"/>
          <w:b/>
          <w:sz w:val="24"/>
          <w:szCs w:val="24"/>
        </w:rPr>
      </w:pPr>
      <w:r>
        <w:rPr>
          <w:rFonts w:hint="default" w:ascii="Times New Roman" w:hAnsi="Times New Roman" w:cs="Times New Roman"/>
          <w:b/>
          <w:sz w:val="24"/>
          <w:szCs w:val="24"/>
        </w:rPr>
        <w:t>7. Конфиденциальность</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7.1. Любая производственная, финансово-экономическая и иная информация, полученная каждой Стороной от другой Стороны в связи с Договором</w:t>
      </w:r>
      <w:r>
        <w:rPr>
          <w:rFonts w:hint="default" w:ascii="Times New Roman" w:hAnsi="Times New Roman" w:cs="Times New Roman"/>
          <w:color w:val="000000"/>
          <w:sz w:val="24"/>
          <w:szCs w:val="24"/>
        </w:rPr>
        <w:t>, в том числе в связи с его заключением и исполнением</w:t>
      </w:r>
      <w:r>
        <w:rPr>
          <w:rFonts w:hint="default" w:ascii="Times New Roman" w:hAnsi="Times New Roman" w:cs="Times New Roman"/>
          <w:sz w:val="24"/>
          <w:szCs w:val="24"/>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pPr>
        <w:contextualSpacing/>
        <w:jc w:val="both"/>
        <w:outlineLvl w:val="1"/>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pPr>
        <w:contextualSpacing/>
        <w:jc w:val="both"/>
        <w:outlineLvl w:val="1"/>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незамедлительно уведомить другую Сторону о получении такого требования,</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предоставить указанным органам или лицам минимально необходимый/требуемый объем Информации,</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pPr>
        <w:contextualSpacing/>
        <w:jc w:val="both"/>
        <w:outlineLvl w:val="1"/>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pPr>
        <w:contextualSpacing/>
        <w:jc w:val="both"/>
        <w:outlineLvl w:val="1"/>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pPr>
        <w:contextualSpacing/>
        <w:jc w:val="both"/>
        <w:outlineLvl w:val="1"/>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pPr>
        <w:contextualSpacing/>
        <w:jc w:val="both"/>
        <w:outlineLvl w:val="1"/>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7.8. В случае разглашения Информации Сторона, допустившая ее разглашение, обязана немедленно уведомить о таком факте другую Сторону в течение</w:t>
      </w:r>
      <w:r>
        <w:rPr>
          <w:rFonts w:hint="default" w:ascii="Times New Roman" w:hAnsi="Times New Roman" w:cs="Times New Roman"/>
          <w:sz w:val="24"/>
          <w:szCs w:val="24"/>
        </w:rPr>
        <w:t xml:space="preserve"> 1 (одного) рабочего дня со дня разглашения Информации.</w:t>
      </w:r>
    </w:p>
    <w:p>
      <w:pPr>
        <w:pStyle w:val="17"/>
        <w:spacing w:after="0"/>
        <w:contextualSpacing/>
        <w:jc w:val="both"/>
        <w:outlineLvl w:val="1"/>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pPr>
        <w:pStyle w:val="17"/>
        <w:spacing w:after="0"/>
        <w:contextualSpacing/>
        <w:jc w:val="both"/>
        <w:outlineLvl w:val="1"/>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7.10. В случае реорганизации одной из Сторон условия охраны конфиденциальности Информации определяются ее правопреемниками.</w:t>
      </w:r>
    </w:p>
    <w:p>
      <w:pPr>
        <w:pStyle w:val="17"/>
        <w:spacing w:after="0"/>
        <w:contextualSpacing/>
        <w:jc w:val="both"/>
        <w:outlineLvl w:val="1"/>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pPr>
        <w:pStyle w:val="17"/>
        <w:spacing w:after="0"/>
        <w:contextualSpacing/>
        <w:jc w:val="both"/>
        <w:outlineLvl w:val="1"/>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pPr>
        <w:pStyle w:val="17"/>
        <w:spacing w:after="0"/>
        <w:contextualSpacing/>
        <w:jc w:val="both"/>
        <w:rPr>
          <w:rFonts w:hint="default" w:ascii="Times New Roman" w:hAnsi="Times New Roman" w:cs="Times New Roman"/>
          <w:color w:val="000000"/>
          <w:sz w:val="24"/>
          <w:szCs w:val="24"/>
        </w:rPr>
      </w:pPr>
    </w:p>
    <w:p>
      <w:pPr>
        <w:contextualSpacing/>
        <w:jc w:val="center"/>
        <w:outlineLvl w:val="0"/>
        <w:rPr>
          <w:rFonts w:hint="default" w:ascii="Times New Roman" w:hAnsi="Times New Roman" w:cs="Times New Roman"/>
          <w:b/>
          <w:sz w:val="24"/>
          <w:szCs w:val="24"/>
        </w:rPr>
      </w:pPr>
      <w:r>
        <w:rPr>
          <w:rFonts w:hint="default" w:ascii="Times New Roman" w:hAnsi="Times New Roman" w:cs="Times New Roman"/>
          <w:b/>
          <w:sz w:val="24"/>
          <w:szCs w:val="24"/>
        </w:rPr>
        <w:t>8. Ответственность Сторон. Гарантии и заверения</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Pr>
          <w:rFonts w:hint="default" w:ascii="Times New Roman" w:hAnsi="Times New Roman" w:cs="Times New Roman"/>
          <w:color w:val="000000"/>
          <w:sz w:val="24"/>
          <w:szCs w:val="24"/>
        </w:rPr>
        <w:t>по ремонту</w:t>
      </w:r>
      <w:r>
        <w:rPr>
          <w:rFonts w:hint="default" w:ascii="Times New Roman" w:hAnsi="Times New Roman" w:cs="Times New Roman"/>
          <w:sz w:val="24"/>
          <w:szCs w:val="24"/>
        </w:rPr>
        <w:t xml:space="preserve"> Товара несет Поставщик.</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Pr>
          <w:rFonts w:hint="default" w:ascii="Times New Roman" w:hAnsi="Times New Roman" w:cs="Times New Roman"/>
          <w:i/>
          <w:sz w:val="24"/>
          <w:szCs w:val="24"/>
        </w:rPr>
        <w:t xml:space="preserve"> </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pPr>
        <w:widowControl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pPr>
        <w:widowControl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8.11. В соответствии со ст. 410 ГК РФ, в случае нарушения Поставщиком обязательств по Договору, Покупатель вправе в одностороннем порядке зачесть неустойку, пеню, штраф и т.д. за нарушение обязательств из суммы, подлежащей уплате за Товар.</w:t>
      </w:r>
    </w:p>
    <w:p>
      <w:pPr>
        <w:widowControl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pPr>
        <w:widowControl w:val="0"/>
        <w:contextualSpacing/>
        <w:jc w:val="both"/>
        <w:outlineLvl w:val="1"/>
        <w:rPr>
          <w:rFonts w:hint="default" w:ascii="Times New Roman" w:hAnsi="Times New Roman" w:cs="Times New Roman"/>
          <w:bCs/>
          <w:sz w:val="24"/>
          <w:szCs w:val="24"/>
        </w:rPr>
      </w:pPr>
      <w:r>
        <w:rPr>
          <w:rFonts w:hint="default" w:ascii="Times New Roman" w:hAnsi="Times New Roman" w:cs="Times New Roman"/>
          <w:bCs/>
          <w:sz w:val="24"/>
          <w:szCs w:val="24"/>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8.14. Прекращение действия Договора не влечет прекращения ответственности Сторон за его нарушение, если иное не предусмотрено соглашением Сторон.</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8.15. Поставщик гарантирует, что:</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 Юридическое лицо зарегистрировано в ЕГРЮЛ надлежащим образом;</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 своевременно и в полном объеме уплачивает налоги, сборы и страховые взносы;</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 отражает в налоговой отчетности по НДС все суммы НДС, предъявленные Покупателю;</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 в случае закупки Товара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p>
    <w:p>
      <w:pPr>
        <w:pStyle w:val="35"/>
        <w:ind w:firstLine="539"/>
        <w:jc w:val="both"/>
        <w:rPr>
          <w:rFonts w:hint="default" w:ascii="Times New Roman" w:hAnsi="Times New Roman" w:cs="Times New Roman"/>
          <w:sz w:val="24"/>
          <w:szCs w:val="24"/>
        </w:rPr>
      </w:pPr>
      <w:bookmarkStart w:id="1" w:name="P140"/>
      <w:bookmarkEnd w:id="1"/>
      <w:r>
        <w:rPr>
          <w:rFonts w:hint="default" w:ascii="Times New Roman" w:hAnsi="Times New Roman" w:cs="Times New Roman"/>
          <w:sz w:val="24"/>
          <w:szCs w:val="24"/>
        </w:rPr>
        <w:t xml:space="preserve">8.16. Поставщик, в соответствии со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"consultantplus://offline/ref=1A65991D3E1A78463A14E70D403B29178BBE90816694F62F00F655E16586EDF446D01DED78DCEFE8D6332008C52F56ADCF4227891A901FL6I5O"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ст. 406.1</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ГК РФ, возмещает Покупателю все имущественные потери последнего, возникшие в связи с предъявлением налоговыми органами и (или) третьими лицами, купившими товары у Покупателя, требований об уплате налогов (пеней, штрафов), доначисленных 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 целей налогообложения по поставкам от Поставщика или по сделкам с привлеченными им в целях исполнения настоящего Договора лицами (поставщики, исполнители и т.д.).</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8.17. Указанные в пункте 8.16. настоящего Договора имущественные потери возмещаются Поставщиком в размере сумм, уплаченных на основании решений, требований налоговых органов. При этом факт оспаривания или неоспаривания данных налоговых доначислений в налоговом органе, в т.ч. в вышестоящем налоговом органе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 xml:space="preserve">8.18. Поставщик обязуется в течение 30 (тридцати) календарных дней с даты выставления Покупателем претензии возместить Покупателю все убытки последнего, возникшие в случаях, указанных в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\l "P140"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 xml:space="preserve">пункте </w:t>
      </w:r>
      <w:r>
        <w:rPr>
          <w:rFonts w:hint="default" w:ascii="Times New Roman" w:hAnsi="Times New Roman" w:cs="Times New Roman"/>
          <w:sz w:val="24"/>
          <w:szCs w:val="24"/>
        </w:rPr>
        <w:fldChar w:fldCharType="end"/>
      </w:r>
      <w:r>
        <w:rPr>
          <w:rFonts w:hint="default" w:ascii="Times New Roman" w:hAnsi="Times New Roman" w:cs="Times New Roman"/>
          <w:sz w:val="24"/>
          <w:szCs w:val="24"/>
        </w:rPr>
        <w:t>8.16. настоящего Договора в полном объеме независимо от уплаты Покупателю неустойки.</w:t>
      </w:r>
    </w:p>
    <w:p>
      <w:pPr>
        <w:pStyle w:val="35"/>
        <w:ind w:firstLine="539"/>
        <w:jc w:val="both"/>
        <w:rPr>
          <w:rFonts w:hint="default" w:ascii="Times New Roman" w:hAnsi="Times New Roman" w:cs="Times New Roman"/>
          <w:sz w:val="24"/>
          <w:szCs w:val="24"/>
        </w:rPr>
      </w:pPr>
      <w:r>
        <w:rPr>
          <w:rFonts w:hint="default" w:ascii="Times New Roman" w:hAnsi="Times New Roman" w:cs="Times New Roman"/>
          <w:sz w:val="24"/>
          <w:szCs w:val="24"/>
        </w:rPr>
        <w:t>8.19. Стороны определили, что вышеуказанные заверения об обстоятельствах имеют существенное значение для Покупателя, и Покупатель при исполнении настоящего Договора будет полагаться на данные заверения об обстоятельствах.</w:t>
      </w:r>
    </w:p>
    <w:p>
      <w:pPr>
        <w:contextualSpacing/>
        <w:rPr>
          <w:rFonts w:hint="default" w:ascii="Times New Roman" w:hAnsi="Times New Roman" w:cs="Times New Roman"/>
          <w:b/>
          <w:sz w:val="24"/>
          <w:szCs w:val="24"/>
        </w:rPr>
      </w:pPr>
    </w:p>
    <w:p>
      <w:pPr>
        <w:contextualSpacing/>
        <w:jc w:val="center"/>
        <w:outlineLvl w:val="0"/>
        <w:rPr>
          <w:rFonts w:hint="default" w:ascii="Times New Roman" w:hAnsi="Times New Roman" w:cs="Times New Roman"/>
          <w:b/>
          <w:sz w:val="24"/>
          <w:szCs w:val="24"/>
        </w:rPr>
      </w:pPr>
      <w:r>
        <w:rPr>
          <w:rFonts w:hint="default" w:ascii="Times New Roman" w:hAnsi="Times New Roman" w:cs="Times New Roman"/>
          <w:b/>
          <w:sz w:val="24"/>
          <w:szCs w:val="24"/>
        </w:rPr>
        <w:t>9. Основания освобождения от ответственности</w:t>
      </w:r>
    </w:p>
    <w:p>
      <w:pPr>
        <w:keepLines/>
        <w:widowControl w:val="0"/>
        <w:tabs>
          <w:tab w:val="left" w:pos="540"/>
        </w:tabs>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pPr>
        <w:tabs>
          <w:tab w:val="left" w:pos="540"/>
        </w:tabs>
        <w:autoSpaceDE w:val="0"/>
        <w:autoSpaceDN w:val="0"/>
        <w:adjustRightInd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pPr>
        <w:tabs>
          <w:tab w:val="left" w:pos="540"/>
        </w:tabs>
        <w:autoSpaceDE w:val="0"/>
        <w:autoSpaceDN w:val="0"/>
        <w:adjustRightInd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pPr>
        <w:tabs>
          <w:tab w:val="left" w:pos="540"/>
        </w:tabs>
        <w:autoSpaceDE w:val="0"/>
        <w:autoSpaceDN w:val="0"/>
        <w:adjustRightInd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pPr>
        <w:tabs>
          <w:tab w:val="left" w:pos="540"/>
        </w:tabs>
        <w:autoSpaceDE w:val="0"/>
        <w:autoSpaceDN w:val="0"/>
        <w:adjustRightInd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уведомить другую Сторону о возобновлении выполнения своих обязательств согласно Договору.</w:t>
      </w:r>
    </w:p>
    <w:p>
      <w:pPr>
        <w:tabs>
          <w:tab w:val="left" w:pos="540"/>
        </w:tabs>
        <w:autoSpaceDE w:val="0"/>
        <w:autoSpaceDN w:val="0"/>
        <w:adjustRightInd w:val="0"/>
        <w:contextualSpacing/>
        <w:jc w:val="both"/>
        <w:outlineLvl w:val="2"/>
        <w:rPr>
          <w:rFonts w:hint="default" w:ascii="Times New Roman" w:hAnsi="Times New Roman" w:cs="Times New Roman"/>
          <w:sz w:val="24"/>
          <w:szCs w:val="24"/>
        </w:rPr>
      </w:pPr>
      <w:r>
        <w:rPr>
          <w:rFonts w:hint="default" w:ascii="Times New Roman" w:hAnsi="Times New Roman" w:cs="Times New Roman"/>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pPr>
        <w:tabs>
          <w:tab w:val="left" w:pos="540"/>
        </w:tabs>
        <w:autoSpaceDE w:val="0"/>
        <w:autoSpaceDN w:val="0"/>
        <w:adjustRightInd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pPr>
        <w:tabs>
          <w:tab w:val="left" w:pos="540"/>
        </w:tabs>
        <w:autoSpaceDE w:val="0"/>
        <w:autoSpaceDN w:val="0"/>
        <w:adjustRightInd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pPr>
        <w:tabs>
          <w:tab w:val="left" w:pos="540"/>
        </w:tabs>
        <w:autoSpaceDE w:val="0"/>
        <w:autoSpaceDN w:val="0"/>
        <w:adjustRightInd w:val="0"/>
        <w:contextualSpacing/>
        <w:jc w:val="both"/>
        <w:rPr>
          <w:rFonts w:hint="default" w:ascii="Times New Roman" w:hAnsi="Times New Roman" w:cs="Times New Roman"/>
          <w:sz w:val="24"/>
          <w:szCs w:val="24"/>
        </w:rPr>
      </w:pPr>
    </w:p>
    <w:p>
      <w:pPr>
        <w:keepLines/>
        <w:widowControl w:val="0"/>
        <w:contextualSpacing/>
        <w:jc w:val="center"/>
        <w:outlineLvl w:val="0"/>
        <w:rPr>
          <w:rFonts w:hint="default" w:ascii="Times New Roman" w:hAnsi="Times New Roman" w:cs="Times New Roman"/>
          <w:b/>
          <w:bCs/>
          <w:sz w:val="24"/>
          <w:szCs w:val="24"/>
        </w:rPr>
      </w:pPr>
      <w:r>
        <w:rPr>
          <w:rFonts w:hint="default" w:ascii="Times New Roman" w:hAnsi="Times New Roman" w:cs="Times New Roman"/>
          <w:b/>
          <w:bCs/>
          <w:sz w:val="24"/>
          <w:szCs w:val="24"/>
        </w:rPr>
        <w:t>10. Порядок разрешения споров</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10.1. Все споры в связи с Договором Стороны разрешают с соблюдением обязательного досудебного претензионного порядка урегулирования споров.</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hint="default" w:ascii="Times New Roman" w:hAnsi="Times New Roman" w:cs="Times New Roman"/>
          <w:bCs/>
          <w:sz w:val="24"/>
          <w:szCs w:val="24"/>
        </w:rPr>
        <w:t>Арбитражным судом по месту нахождения Покупателя</w:t>
      </w:r>
      <w:r>
        <w:rPr>
          <w:rFonts w:hint="default" w:ascii="Times New Roman" w:hAnsi="Times New Roman" w:cs="Times New Roman"/>
          <w:sz w:val="24"/>
          <w:szCs w:val="24"/>
        </w:rPr>
        <w:t>.</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pPr>
        <w:tabs>
          <w:tab w:val="left" w:pos="4346"/>
        </w:tabs>
        <w:contextualSpacing/>
        <w:jc w:val="center"/>
        <w:outlineLvl w:val="0"/>
        <w:rPr>
          <w:rFonts w:hint="default" w:ascii="Times New Roman" w:hAnsi="Times New Roman" w:cs="Times New Roman"/>
          <w:b/>
          <w:bCs/>
          <w:sz w:val="24"/>
          <w:szCs w:val="24"/>
        </w:rPr>
      </w:pPr>
    </w:p>
    <w:p>
      <w:pPr>
        <w:tabs>
          <w:tab w:val="left" w:pos="4346"/>
        </w:tabs>
        <w:contextualSpacing/>
        <w:jc w:val="center"/>
        <w:outlineLvl w:val="0"/>
        <w:rPr>
          <w:rFonts w:hint="default" w:ascii="Times New Roman" w:hAnsi="Times New Roman" w:cs="Times New Roman"/>
          <w:b/>
          <w:bCs/>
          <w:sz w:val="24"/>
          <w:szCs w:val="24"/>
        </w:rPr>
      </w:pPr>
      <w:r>
        <w:rPr>
          <w:rFonts w:hint="default" w:ascii="Times New Roman" w:hAnsi="Times New Roman" w:cs="Times New Roman"/>
          <w:b/>
          <w:bCs/>
          <w:sz w:val="24"/>
          <w:szCs w:val="24"/>
        </w:rPr>
        <w:t>11. Действие Договора</w:t>
      </w:r>
    </w:p>
    <w:p>
      <w:pPr>
        <w:autoSpaceDE w:val="0"/>
        <w:autoSpaceDN w:val="0"/>
        <w:adjustRightInd w:val="0"/>
        <w:contextualSpacing/>
        <w:jc w:val="both"/>
        <w:outlineLvl w:val="1"/>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pPr>
        <w:autoSpaceDE w:val="0"/>
        <w:autoSpaceDN w:val="0"/>
        <w:adjustRightInd w:val="0"/>
        <w:contextualSpacing/>
        <w:jc w:val="both"/>
        <w:outlineLvl w:val="1"/>
        <w:rPr>
          <w:rFonts w:hint="default" w:ascii="Times New Roman" w:hAnsi="Times New Roman" w:cs="Times New Roman"/>
          <w:color w:val="000000"/>
          <w:sz w:val="24"/>
          <w:szCs w:val="24"/>
        </w:rPr>
      </w:pPr>
      <w:r>
        <w:rPr>
          <w:rFonts w:hint="default" w:ascii="Times New Roman" w:hAnsi="Times New Roman" w:cs="Times New Roman"/>
          <w:bCs/>
          <w:sz w:val="24"/>
          <w:szCs w:val="24"/>
        </w:rPr>
        <w:t xml:space="preserve">11.2. </w:t>
      </w:r>
      <w:r>
        <w:rPr>
          <w:rFonts w:hint="default" w:ascii="Times New Roman" w:hAnsi="Times New Roman" w:cs="Times New Roman"/>
          <w:sz w:val="24"/>
          <w:szCs w:val="24"/>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Pr>
          <w:rFonts w:hint="default" w:ascii="Times New Roman" w:hAnsi="Times New Roman" w:cs="Times New Roman"/>
          <w:color w:val="000000"/>
          <w:sz w:val="24"/>
          <w:szCs w:val="24"/>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pPr>
        <w:autoSpaceDE w:val="0"/>
        <w:autoSpaceDN w:val="0"/>
        <w:adjustRightInd w:val="0"/>
        <w:contextualSpacing/>
        <w:jc w:val="both"/>
        <w:outlineLvl w:val="1"/>
        <w:rPr>
          <w:rFonts w:hint="default" w:ascii="Times New Roman" w:hAnsi="Times New Roman" w:cs="Times New Roman"/>
          <w:color w:val="000000"/>
          <w:sz w:val="24"/>
          <w:szCs w:val="24"/>
        </w:rPr>
      </w:pPr>
    </w:p>
    <w:p>
      <w:pPr>
        <w:keepLines/>
        <w:widowControl w:val="0"/>
        <w:ind w:firstLine="794"/>
        <w:contextualSpacing/>
        <w:jc w:val="center"/>
        <w:outlineLvl w:val="0"/>
        <w:rPr>
          <w:rFonts w:hint="default" w:ascii="Times New Roman" w:hAnsi="Times New Roman" w:cs="Times New Roman"/>
          <w:b/>
          <w:bCs/>
          <w:sz w:val="24"/>
          <w:szCs w:val="24"/>
        </w:rPr>
      </w:pPr>
      <w:r>
        <w:rPr>
          <w:rFonts w:hint="default" w:ascii="Times New Roman" w:hAnsi="Times New Roman" w:cs="Times New Roman"/>
          <w:b/>
          <w:bCs/>
          <w:sz w:val="24"/>
          <w:szCs w:val="24"/>
        </w:rPr>
        <w:t>12. Заключительные положения</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12.3. Настоящий Договор является действительным при наличии подписей уполномоченных представителей и печатей Сторон. </w:t>
      </w:r>
      <w:r>
        <w:rPr>
          <w:rFonts w:hint="default" w:ascii="Times New Roman" w:hAnsi="Times New Roman" w:eastAsia="Calibri" w:cs="Times New Roman"/>
          <w:sz w:val="24"/>
          <w:szCs w:val="24"/>
          <w:lang w:eastAsia="en-US"/>
        </w:rPr>
        <w:t>Договор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соответствующей Стороны по Договору.</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указанных в п. 12.3. настоящего Договора, а также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Pr>
          <w:rFonts w:hint="default" w:ascii="Times New Roman" w:hAnsi="Times New Roman" w:cs="Times New Roman"/>
          <w:sz w:val="24"/>
          <w:szCs w:val="24"/>
        </w:rPr>
        <w:fldChar w:fldCharType="begin">
          <w:ffData>
            <w:name w:val="ТекстовоеПоле116"/>
            <w:enabled/>
            <w:calcOnExit w:val="0"/>
            <w:textInput>
              <w:default w:val="Приложениях"/>
            </w:textInput>
          </w:ffData>
        </w:fldChar>
      </w:r>
      <w:r>
        <w:rPr>
          <w:rFonts w:hint="default" w:ascii="Times New Roman" w:hAnsi="Times New Roman" w:cs="Times New Roman"/>
          <w:sz w:val="24"/>
          <w:szCs w:val="24"/>
        </w:rPr>
        <w:instrText xml:space="preserve"> FORMTEXT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rPr>
        <w:t>Приложениях</w:t>
      </w:r>
      <w:r>
        <w:rPr>
          <w:rFonts w:hint="default" w:ascii="Times New Roman" w:hAnsi="Times New Roman" w:cs="Times New Roman"/>
          <w:sz w:val="24"/>
          <w:szCs w:val="24"/>
        </w:rPr>
        <w:fldChar w:fldCharType="end"/>
      </w:r>
      <w:bookmarkEnd w:id="2"/>
      <w:r>
        <w:rPr>
          <w:rFonts w:hint="default" w:ascii="Times New Roman" w:hAnsi="Times New Roman" w:cs="Times New Roman"/>
          <w:sz w:val="24"/>
          <w:szCs w:val="24"/>
        </w:rPr>
        <w:t>.</w:t>
      </w:r>
    </w:p>
    <w:p>
      <w:pPr>
        <w:overflowPunct w:val="0"/>
        <w:autoSpaceDE w:val="0"/>
        <w:autoSpaceDN w:val="0"/>
        <w:adjustRightInd w:val="0"/>
        <w:contextualSpacing/>
        <w:jc w:val="both"/>
        <w:textAlignment w:val="baseline"/>
        <w:outlineLvl w:val="1"/>
        <w:rPr>
          <w:rFonts w:hint="default" w:ascii="Times New Roman" w:hAnsi="Times New Roman" w:cs="Times New Roman"/>
          <w:sz w:val="24"/>
          <w:szCs w:val="24"/>
        </w:rPr>
      </w:pPr>
      <w:r>
        <w:rPr>
          <w:rFonts w:hint="default" w:ascii="Times New Roman" w:hAnsi="Times New Roman" w:cs="Times New Roman"/>
          <w:sz w:val="24"/>
          <w:szCs w:val="24"/>
        </w:rPr>
        <w:t>12.6. Каждая из Сторон несет ответственность перед другой Стороной за достоверность и полноту указанных в разделе «</w:t>
      </w:r>
      <w:r>
        <w:rPr>
          <w:rFonts w:hint="default" w:ascii="Times New Roman" w:hAnsi="Times New Roman" w:cs="Times New Roman"/>
          <w:color w:val="000000"/>
          <w:sz w:val="24"/>
          <w:szCs w:val="24"/>
        </w:rPr>
        <w:t>Реквизиты, печати и подписи уполномоченных лиц Сторон»</w:t>
      </w:r>
      <w:r>
        <w:rPr>
          <w:rFonts w:hint="default" w:ascii="Times New Roman" w:hAnsi="Times New Roman" w:cs="Times New Roman"/>
          <w:sz w:val="24"/>
          <w:szCs w:val="24"/>
        </w:rPr>
        <w:t xml:space="preserve"> своих реквизитов.</w:t>
      </w:r>
    </w:p>
    <w:p>
      <w:pPr>
        <w:overflowPunct w:val="0"/>
        <w:autoSpaceDE w:val="0"/>
        <w:autoSpaceDN w:val="0"/>
        <w:adjustRightInd w:val="0"/>
        <w:contextualSpacing/>
        <w:jc w:val="both"/>
        <w:textAlignment w:val="baseline"/>
        <w:outlineLvl w:val="1"/>
        <w:rPr>
          <w:rFonts w:hint="default" w:ascii="Times New Roman" w:hAnsi="Times New Roman" w:cs="Times New Roman"/>
          <w:sz w:val="24"/>
          <w:szCs w:val="24"/>
        </w:rPr>
      </w:pPr>
      <w:r>
        <w:rPr>
          <w:rFonts w:hint="default" w:ascii="Times New Roman" w:hAnsi="Times New Roman" w:cs="Times New Roman"/>
          <w:sz w:val="24"/>
          <w:szCs w:val="24"/>
        </w:rPr>
        <w:t>В случае изменения указанных в разделе «</w:t>
      </w:r>
      <w:r>
        <w:rPr>
          <w:rFonts w:hint="default" w:ascii="Times New Roman" w:hAnsi="Times New Roman" w:cs="Times New Roman"/>
          <w:color w:val="000000"/>
          <w:sz w:val="24"/>
          <w:szCs w:val="24"/>
        </w:rPr>
        <w:t>Реквизиты, печати и подписи уполномоченных лиц Сторон»</w:t>
      </w:r>
      <w:r>
        <w:rPr>
          <w:rFonts w:hint="default" w:ascii="Times New Roman" w:hAnsi="Times New Roman" w:cs="Times New Roman"/>
          <w:sz w:val="24"/>
          <w:szCs w:val="24"/>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pPr>
        <w:overflowPunct w:val="0"/>
        <w:autoSpaceDE w:val="0"/>
        <w:autoSpaceDN w:val="0"/>
        <w:adjustRightInd w:val="0"/>
        <w:contextualSpacing/>
        <w:jc w:val="both"/>
        <w:textAlignment w:val="baseline"/>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pPr>
        <w:overflowPunct w:val="0"/>
        <w:autoSpaceDE w:val="0"/>
        <w:autoSpaceDN w:val="0"/>
        <w:adjustRightInd w:val="0"/>
        <w:contextualSpacing/>
        <w:jc w:val="both"/>
        <w:textAlignment w:val="baseline"/>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pPr>
        <w:adjustRightInd w:val="0"/>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pPr>
        <w:contextualSpacing/>
        <w:jc w:val="both"/>
        <w:outlineLvl w:val="1"/>
        <w:rPr>
          <w:rFonts w:hint="default" w:ascii="Times New Roman" w:hAnsi="Times New Roman" w:cs="Times New Roman"/>
          <w:b/>
          <w:i/>
          <w:sz w:val="24"/>
          <w:szCs w:val="24"/>
        </w:rPr>
      </w:pPr>
      <w:r>
        <w:rPr>
          <w:rFonts w:hint="default" w:ascii="Times New Roman" w:hAnsi="Times New Roman" w:cs="Times New Roman"/>
          <w:sz w:val="24"/>
          <w:szCs w:val="24"/>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hint="default" w:ascii="Times New Roman" w:hAnsi="Times New Roman" w:cs="Times New Roman"/>
          <w:spacing w:val="-2"/>
          <w:sz w:val="24"/>
          <w:szCs w:val="24"/>
        </w:rPr>
        <w:t>реквизитами, указанными в разделе 13 настоящего Договора</w:t>
      </w:r>
      <w:r>
        <w:rPr>
          <w:rFonts w:hint="default" w:ascii="Times New Roman" w:hAnsi="Times New Roman" w:cs="Times New Roman"/>
          <w:spacing w:val="-3"/>
          <w:sz w:val="24"/>
          <w:szCs w:val="24"/>
        </w:rPr>
        <w:t>.</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12.9. Уведомления могут направляться Сторонами с использованием </w:t>
      </w:r>
      <w:r>
        <w:rPr>
          <w:rFonts w:hint="default" w:ascii="Times New Roman" w:hAnsi="Times New Roman" w:cs="Times New Roman"/>
          <w:spacing w:val="-2"/>
          <w:sz w:val="24"/>
          <w:szCs w:val="24"/>
        </w:rPr>
        <w:t xml:space="preserve">следующих способов связи: электронная почта, </w:t>
      </w:r>
      <w:r>
        <w:rPr>
          <w:rFonts w:hint="default" w:ascii="Times New Roman" w:hAnsi="Times New Roman" w:cs="Times New Roman"/>
          <w:spacing w:val="-1"/>
          <w:sz w:val="24"/>
          <w:szCs w:val="24"/>
        </w:rPr>
        <w:t xml:space="preserve">почтовая связь (почтовое отправление (заказное или с объявленной ценностью) «с уведомлением о вручении», а </w:t>
      </w:r>
      <w:r>
        <w:rPr>
          <w:rFonts w:hint="default" w:ascii="Times New Roman" w:hAnsi="Times New Roman" w:cs="Times New Roman"/>
          <w:sz w:val="24"/>
          <w:szCs w:val="24"/>
        </w:rPr>
        <w:t>в международном почтовом обмене «с уведомлением о получении»),</w:t>
      </w:r>
      <w:r>
        <w:rPr>
          <w:rFonts w:hint="default" w:ascii="Times New Roman" w:hAnsi="Times New Roman" w:cs="Times New Roman"/>
          <w:spacing w:val="-3"/>
          <w:sz w:val="24"/>
          <w:szCs w:val="24"/>
        </w:rPr>
        <w:t xml:space="preserve"> курьерская связь.</w:t>
      </w:r>
      <w:r>
        <w:rPr>
          <w:rFonts w:hint="default" w:ascii="Times New Roman" w:hAnsi="Times New Roman" w:cs="Times New Roman"/>
          <w:sz w:val="24"/>
          <w:szCs w:val="24"/>
        </w:rPr>
        <w:t xml:space="preserve"> </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В случае направления Стороной уведомлений с использованием </w:t>
      </w:r>
      <w:r>
        <w:rPr>
          <w:rFonts w:hint="default" w:ascii="Times New Roman" w:hAnsi="Times New Roman" w:cs="Times New Roman"/>
          <w:spacing w:val="-3"/>
          <w:sz w:val="24"/>
          <w:szCs w:val="24"/>
        </w:rPr>
        <w:t xml:space="preserve">почтовой либо курьерской связи такое уведомление будет считаться </w:t>
      </w:r>
      <w:r>
        <w:rPr>
          <w:rFonts w:hint="default" w:ascii="Times New Roman" w:hAnsi="Times New Roman" w:cs="Times New Roman"/>
          <w:spacing w:val="-4"/>
          <w:sz w:val="24"/>
          <w:szCs w:val="24"/>
        </w:rPr>
        <w:t xml:space="preserve">полученным другой Стороной с момента, обозначенного в уведомлении о вручении или в уведомлении о </w:t>
      </w:r>
      <w:r>
        <w:rPr>
          <w:rFonts w:hint="default" w:ascii="Times New Roman" w:hAnsi="Times New Roman" w:cs="Times New Roman"/>
          <w:sz w:val="24"/>
          <w:szCs w:val="24"/>
        </w:rPr>
        <w:t>получении.</w:t>
      </w:r>
    </w:p>
    <w:p>
      <w:pPr>
        <w:contextualSpacing/>
        <w:jc w:val="both"/>
        <w:outlineLvl w:val="1"/>
        <w:rPr>
          <w:rFonts w:hint="default" w:ascii="Times New Roman" w:hAnsi="Times New Roman" w:cs="Times New Roman"/>
          <w:b/>
          <w:i/>
          <w:sz w:val="24"/>
          <w:szCs w:val="24"/>
        </w:rPr>
      </w:pPr>
      <w:r>
        <w:rPr>
          <w:rFonts w:hint="default" w:ascii="Times New Roman" w:hAnsi="Times New Roman" w:cs="Times New Roman"/>
          <w:sz w:val="24"/>
          <w:szCs w:val="24"/>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12.11. Документы, переданные по электронной почте, имеют полную юридическую силу (за исключением счетов-фактур) при условии их передачи с адресов указанных в разделе 13 настоящего Договора. Стороны обязуются осуществить обмен оригиналами документов, переданных друг другу с использованием электронной почты, в течение 10 дней. Риск искажения информации несет Сторона, направившая информацию.</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12.12.2. Представитель другой Стороны, подписывающий Договор, имеет все полномочия, необходимые для заключения им Договора от ее имени.</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12.12.4. Не существует никаких других зависящих от другой Стороны препятствий для заключения и исполнения ею Договора. </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pPr>
        <w:contextualSpacing/>
        <w:jc w:val="both"/>
        <w:outlineLvl w:val="1"/>
        <w:rPr>
          <w:rFonts w:hint="default" w:ascii="Times New Roman" w:hAnsi="Times New Roman" w:cs="Times New Roman"/>
          <w:sz w:val="24"/>
          <w:szCs w:val="24"/>
        </w:rPr>
      </w:pPr>
      <w:r>
        <w:rPr>
          <w:rFonts w:hint="default" w:ascii="Times New Roman" w:hAnsi="Times New Roman" w:cs="Times New Roman"/>
          <w:sz w:val="24"/>
          <w:szCs w:val="24"/>
        </w:rPr>
        <w:t>12.14. Во всем, что не предусмотрено условиями Договора, Стороны руководствуются законодательством Российской Федерации.</w:t>
      </w:r>
    </w:p>
    <w:p>
      <w:pPr>
        <w:contextualSpacing/>
        <w:jc w:val="both"/>
        <w:rPr>
          <w:rFonts w:hint="default" w:ascii="Times New Roman" w:hAnsi="Times New Roman" w:cs="Times New Roman"/>
          <w:sz w:val="24"/>
          <w:szCs w:val="24"/>
        </w:rPr>
      </w:pPr>
    </w:p>
    <w:p>
      <w:pPr>
        <w:adjustRightInd w:val="0"/>
        <w:contextualSpacing/>
        <w:jc w:val="center"/>
        <w:outlineLvl w:val="0"/>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13. Реквизиты, печати и подписи уполномоченных лиц Сторон </w:t>
      </w:r>
    </w:p>
    <w:tbl>
      <w:tblPr>
        <w:tblStyle w:val="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4819" w:type="dxa"/>
            <w:shd w:val="clear" w:color="auto" w:fill="F3F3F3"/>
            <w:noWrap w:val="0"/>
            <w:vAlign w:val="center"/>
          </w:tcPr>
          <w:p>
            <w:pPr>
              <w:widowControl w:val="0"/>
              <w:ind w:right="72"/>
              <w:jc w:val="center"/>
              <w:rPr>
                <w:rFonts w:hint="default" w:ascii="Times New Roman" w:hAnsi="Times New Roman" w:cs="Times New Roman"/>
                <w:sz w:val="24"/>
                <w:szCs w:val="24"/>
              </w:rPr>
            </w:pPr>
            <w:r>
              <w:rPr>
                <w:rFonts w:hint="default" w:ascii="Times New Roman" w:hAnsi="Times New Roman" w:cs="Times New Roman"/>
                <w:b/>
                <w:bCs/>
                <w:sz w:val="24"/>
                <w:szCs w:val="24"/>
              </w:rPr>
              <w:t>Покупатель:</w:t>
            </w:r>
          </w:p>
        </w:tc>
        <w:tc>
          <w:tcPr>
            <w:tcW w:w="4820" w:type="dxa"/>
            <w:shd w:val="clear" w:color="auto" w:fill="F3F3F3"/>
            <w:noWrap w:val="0"/>
            <w:vAlign w:val="center"/>
          </w:tcPr>
          <w:p>
            <w:pPr>
              <w:widowControl w:val="0"/>
              <w:ind w:right="72"/>
              <w:jc w:val="center"/>
              <w:rPr>
                <w:rFonts w:hint="default" w:ascii="Times New Roman" w:hAnsi="Times New Roman" w:cs="Times New Roman"/>
                <w:b/>
                <w:bCs/>
                <w:sz w:val="24"/>
                <w:szCs w:val="24"/>
              </w:rPr>
            </w:pPr>
            <w:r>
              <w:rPr>
                <w:rFonts w:hint="default" w:ascii="Times New Roman" w:hAnsi="Times New Roman" w:cs="Times New Roman"/>
                <w:b/>
                <w:sz w:val="24"/>
                <w:szCs w:val="24"/>
              </w:rPr>
              <w:t>Поставщик: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4819" w:type="dxa"/>
            <w:noWrap w:val="0"/>
            <w:vAlign w:val="top"/>
          </w:tcPr>
          <w:p>
            <w:pPr>
              <w:pStyle w:val="45"/>
              <w:snapToGrid w:val="0"/>
              <w:ind w:right="72"/>
              <w:rPr>
                <w:rFonts w:hint="default" w:ascii="Times New Roman" w:hAnsi="Times New Roman" w:cs="Times New Roman"/>
                <w:sz w:val="24"/>
                <w:szCs w:val="24"/>
              </w:rPr>
            </w:pPr>
            <w:r>
              <w:rPr>
                <w:rFonts w:hint="default" w:ascii="Times New Roman" w:hAnsi="Times New Roman" w:cs="Times New Roman"/>
                <w:b/>
                <w:bCs/>
                <w:sz w:val="24"/>
                <w:szCs w:val="24"/>
              </w:rPr>
              <w:t>Полное фирменное наименование:</w:t>
            </w:r>
          </w:p>
          <w:p>
            <w:pPr>
              <w:widowControl w:val="0"/>
              <w:ind w:right="72"/>
              <w:rPr>
                <w:rFonts w:hint="default" w:ascii="Times New Roman" w:hAnsi="Times New Roman" w:cs="Times New Roman"/>
                <w:b/>
                <w:bCs/>
                <w:sz w:val="24"/>
                <w:szCs w:val="24"/>
              </w:rPr>
            </w:pPr>
            <w:r>
              <w:rPr>
                <w:rFonts w:hint="default" w:ascii="Times New Roman" w:hAnsi="Times New Roman" w:cs="Times New Roman"/>
                <w:sz w:val="24"/>
                <w:szCs w:val="24"/>
              </w:rPr>
              <w:t>Общество с ограниченной ответственностью «Ульяновский областной водоканал»</w:t>
            </w:r>
          </w:p>
        </w:tc>
        <w:tc>
          <w:tcPr>
            <w:tcW w:w="4820" w:type="dxa"/>
            <w:noWrap w:val="0"/>
            <w:vAlign w:val="top"/>
          </w:tcPr>
          <w:p>
            <w:pPr>
              <w:rPr>
                <w:rFonts w:hint="default" w:ascii="Times New Roman" w:hAnsi="Times New Roman" w:cs="Times New Roman"/>
                <w:b/>
                <w:sz w:val="24"/>
                <w:szCs w:val="24"/>
              </w:rPr>
            </w:pPr>
            <w:r>
              <w:rPr>
                <w:rFonts w:hint="default" w:ascii="Times New Roman" w:hAnsi="Times New Roman" w:cs="Times New Roman"/>
                <w:b/>
                <w:sz w:val="24"/>
                <w:szCs w:val="24"/>
              </w:rPr>
              <w:t>Полное фирменное наименование:</w:t>
            </w:r>
          </w:p>
          <w:p>
            <w:pPr>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9" w:type="dxa"/>
            <w:noWrap w:val="0"/>
            <w:vAlign w:val="top"/>
          </w:tcPr>
          <w:p>
            <w:pPr>
              <w:widowControl w:val="0"/>
              <w:spacing w:before="100" w:beforeAutospacing="1" w:after="100" w:afterAutospacing="1"/>
              <w:ind w:right="72"/>
              <w:rPr>
                <w:rFonts w:hint="default" w:ascii="Times New Roman" w:hAnsi="Times New Roman" w:cs="Times New Roman"/>
                <w:sz w:val="24"/>
                <w:szCs w:val="24"/>
              </w:rPr>
            </w:pPr>
            <w:r>
              <w:rPr>
                <w:rFonts w:hint="default" w:ascii="Times New Roman" w:hAnsi="Times New Roman" w:cs="Times New Roman"/>
                <w:b/>
                <w:bCs/>
                <w:sz w:val="24"/>
                <w:szCs w:val="24"/>
              </w:rPr>
              <w:t xml:space="preserve">ИНН: </w:t>
            </w:r>
            <w:r>
              <w:rPr>
                <w:rFonts w:hint="default" w:ascii="Times New Roman" w:hAnsi="Times New Roman" w:cs="Times New Roman"/>
                <w:sz w:val="24"/>
                <w:szCs w:val="24"/>
              </w:rPr>
              <w:t>7728778215</w:t>
            </w:r>
          </w:p>
        </w:tc>
        <w:tc>
          <w:tcPr>
            <w:tcW w:w="4820" w:type="dxa"/>
            <w:noWrap w:val="0"/>
            <w:vAlign w:val="top"/>
          </w:tcPr>
          <w:p>
            <w:pPr>
              <w:widowControl w:val="0"/>
              <w:spacing w:before="100" w:beforeAutospacing="1" w:after="100" w:afterAutospacing="1"/>
              <w:ind w:right="72"/>
              <w:rPr>
                <w:rFonts w:hint="default" w:ascii="Times New Roman" w:hAnsi="Times New Roman" w:cs="Times New Roman"/>
                <w:sz w:val="24"/>
                <w:szCs w:val="24"/>
              </w:rPr>
            </w:pPr>
            <w:r>
              <w:rPr>
                <w:rFonts w:hint="default" w:ascii="Times New Roman" w:hAnsi="Times New Roman" w:cs="Times New Roman"/>
                <w:b/>
                <w:sz w:val="24"/>
                <w:szCs w:val="24"/>
              </w:rPr>
              <w:t>ИНН:</w:t>
            </w:r>
            <w:r>
              <w:rPr>
                <w:rFonts w:hint="default" w:ascii="Times New Roman" w:hAnsi="Times New Roman"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9" w:type="dxa"/>
            <w:noWrap w:val="0"/>
            <w:vAlign w:val="top"/>
          </w:tcPr>
          <w:p>
            <w:pPr>
              <w:widowControl w:val="0"/>
              <w:spacing w:before="100" w:beforeAutospacing="1" w:after="100" w:afterAutospacing="1"/>
              <w:ind w:right="72"/>
              <w:rPr>
                <w:rFonts w:hint="default" w:ascii="Times New Roman" w:hAnsi="Times New Roman" w:cs="Times New Roman"/>
                <w:sz w:val="24"/>
                <w:szCs w:val="24"/>
              </w:rPr>
            </w:pPr>
            <w:r>
              <w:rPr>
                <w:rFonts w:hint="default" w:ascii="Times New Roman" w:hAnsi="Times New Roman" w:cs="Times New Roman"/>
                <w:b/>
                <w:bCs/>
                <w:sz w:val="24"/>
                <w:szCs w:val="24"/>
              </w:rPr>
              <w:t>КПП:</w:t>
            </w:r>
            <w:r>
              <w:rPr>
                <w:rFonts w:hint="default" w:ascii="Times New Roman" w:hAnsi="Times New Roman" w:cs="Times New Roman"/>
                <w:sz w:val="24"/>
                <w:szCs w:val="24"/>
              </w:rPr>
              <w:t xml:space="preserve"> 732901001</w:t>
            </w:r>
          </w:p>
        </w:tc>
        <w:tc>
          <w:tcPr>
            <w:tcW w:w="4820" w:type="dxa"/>
            <w:noWrap w:val="0"/>
            <w:vAlign w:val="top"/>
          </w:tcPr>
          <w:p>
            <w:pPr>
              <w:widowControl w:val="0"/>
              <w:spacing w:before="100" w:beforeAutospacing="1" w:after="100" w:afterAutospacing="1"/>
              <w:ind w:right="72"/>
              <w:rPr>
                <w:rFonts w:hint="default" w:ascii="Times New Roman" w:hAnsi="Times New Roman" w:cs="Times New Roman"/>
                <w:sz w:val="24"/>
                <w:szCs w:val="24"/>
              </w:rPr>
            </w:pPr>
            <w:r>
              <w:rPr>
                <w:rFonts w:hint="default" w:ascii="Times New Roman" w:hAnsi="Times New Roman" w:cs="Times New Roman"/>
                <w:b/>
                <w:sz w:val="24"/>
                <w:szCs w:val="24"/>
              </w:rPr>
              <w:t>КПП:</w:t>
            </w:r>
            <w:r>
              <w:rPr>
                <w:rFonts w:hint="default" w:ascii="Times New Roman" w:hAnsi="Times New Roman"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9" w:type="dxa"/>
            <w:noWrap w:val="0"/>
            <w:vAlign w:val="top"/>
          </w:tcPr>
          <w:p>
            <w:pPr>
              <w:widowControl w:val="0"/>
              <w:spacing w:before="100" w:beforeAutospacing="1" w:after="100" w:afterAutospacing="1"/>
              <w:ind w:right="72"/>
              <w:rPr>
                <w:rFonts w:hint="default" w:ascii="Times New Roman" w:hAnsi="Times New Roman" w:cs="Times New Roman"/>
                <w:sz w:val="24"/>
                <w:szCs w:val="24"/>
              </w:rPr>
            </w:pPr>
            <w:r>
              <w:rPr>
                <w:rFonts w:hint="default" w:ascii="Times New Roman" w:hAnsi="Times New Roman" w:cs="Times New Roman"/>
                <w:b/>
                <w:bCs/>
                <w:sz w:val="24"/>
                <w:szCs w:val="24"/>
              </w:rPr>
              <w:t xml:space="preserve">ОГРН: </w:t>
            </w:r>
            <w:r>
              <w:rPr>
                <w:rFonts w:hint="default" w:ascii="Times New Roman" w:hAnsi="Times New Roman" w:cs="Times New Roman"/>
                <w:sz w:val="24"/>
                <w:szCs w:val="24"/>
              </w:rPr>
              <w:t>1117746565551</w:t>
            </w:r>
          </w:p>
        </w:tc>
        <w:tc>
          <w:tcPr>
            <w:tcW w:w="4820" w:type="dxa"/>
            <w:noWrap w:val="0"/>
            <w:vAlign w:val="top"/>
          </w:tcPr>
          <w:p>
            <w:pPr>
              <w:widowControl w:val="0"/>
              <w:spacing w:before="100" w:beforeAutospacing="1" w:after="100" w:afterAutospacing="1"/>
              <w:ind w:right="72"/>
              <w:rPr>
                <w:rFonts w:hint="default" w:ascii="Times New Roman" w:hAnsi="Times New Roman" w:cs="Times New Roman"/>
                <w:sz w:val="24"/>
                <w:szCs w:val="24"/>
              </w:rPr>
            </w:pPr>
            <w:r>
              <w:rPr>
                <w:rFonts w:hint="default" w:ascii="Times New Roman" w:hAnsi="Times New Roman" w:cs="Times New Roman"/>
                <w:b/>
                <w:sz w:val="24"/>
                <w:szCs w:val="24"/>
              </w:rPr>
              <w:t>ОГРН:</w:t>
            </w:r>
            <w:r>
              <w:rPr>
                <w:rFonts w:hint="default" w:ascii="Times New Roman" w:hAnsi="Times New Roman"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819" w:type="dxa"/>
            <w:noWrap w:val="0"/>
            <w:vAlign w:val="top"/>
          </w:tcPr>
          <w:p>
            <w:pPr>
              <w:widowControl w:val="0"/>
              <w:ind w:right="72"/>
              <w:rPr>
                <w:rFonts w:hint="default" w:ascii="Times New Roman" w:hAnsi="Times New Roman" w:cs="Times New Roman"/>
                <w:sz w:val="24"/>
                <w:szCs w:val="24"/>
              </w:rPr>
            </w:pPr>
            <w:r>
              <w:rPr>
                <w:rFonts w:hint="default" w:ascii="Times New Roman" w:hAnsi="Times New Roman" w:cs="Times New Roman"/>
                <w:b/>
                <w:bCs/>
                <w:sz w:val="24"/>
                <w:szCs w:val="24"/>
              </w:rPr>
              <w:t xml:space="preserve">Место нахождения: </w:t>
            </w:r>
            <w:r>
              <w:rPr>
                <w:rFonts w:hint="default" w:ascii="Times New Roman" w:hAnsi="Times New Roman" w:cs="Times New Roman"/>
                <w:sz w:val="24"/>
                <w:szCs w:val="24"/>
              </w:rPr>
              <w:t>433508, Ульяновская область, г. Димитровград, ул. Куйбышева, 150, этаж 2</w:t>
            </w:r>
          </w:p>
        </w:tc>
        <w:tc>
          <w:tcPr>
            <w:tcW w:w="4820" w:type="dxa"/>
            <w:noWrap w:val="0"/>
            <w:vAlign w:val="top"/>
          </w:tcPr>
          <w:p>
            <w:pPr>
              <w:rPr>
                <w:rFonts w:hint="default" w:ascii="Times New Roman" w:hAnsi="Times New Roman" w:cs="Times New Roman"/>
                <w:sz w:val="24"/>
                <w:szCs w:val="24"/>
              </w:rPr>
            </w:pPr>
            <w:r>
              <w:rPr>
                <w:rFonts w:hint="default" w:ascii="Times New Roman" w:hAnsi="Times New Roman" w:cs="Times New Roman"/>
                <w:b/>
                <w:sz w:val="24"/>
                <w:szCs w:val="24"/>
              </w:rPr>
              <w:t>Место нахождения:</w:t>
            </w:r>
            <w:r>
              <w:rPr>
                <w:rFonts w:hint="default" w:ascii="Times New Roman" w:hAnsi="Times New Roman"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9" w:type="dxa"/>
            <w:noWrap w:val="0"/>
            <w:vAlign w:val="top"/>
          </w:tcPr>
          <w:p>
            <w:pPr>
              <w:widowControl w:val="0"/>
              <w:rPr>
                <w:rFonts w:hint="default" w:ascii="Times New Roman" w:hAnsi="Times New Roman" w:cs="Times New Roman"/>
                <w:sz w:val="24"/>
                <w:szCs w:val="24"/>
              </w:rPr>
            </w:pPr>
            <w:r>
              <w:rPr>
                <w:rFonts w:hint="default" w:ascii="Times New Roman" w:hAnsi="Times New Roman" w:cs="Times New Roman"/>
                <w:b/>
                <w:bCs/>
                <w:sz w:val="24"/>
                <w:szCs w:val="24"/>
              </w:rPr>
              <w:t>Адрес для корреспонденции в Российской Федерации (с индексом):</w:t>
            </w:r>
            <w:r>
              <w:rPr>
                <w:rFonts w:hint="default" w:ascii="Times New Roman" w:hAnsi="Times New Roman" w:cs="Times New Roman"/>
                <w:sz w:val="24"/>
                <w:szCs w:val="24"/>
              </w:rPr>
              <w:t xml:space="preserve"> 433508, Ульяновская область, г. Димитровград, ул. Куйбышева, 150</w:t>
            </w:r>
          </w:p>
        </w:tc>
        <w:tc>
          <w:tcPr>
            <w:tcW w:w="4820" w:type="dxa"/>
            <w:noWrap w:val="0"/>
            <w:vAlign w:val="top"/>
          </w:tcPr>
          <w:p>
            <w:pPr>
              <w:rPr>
                <w:rFonts w:hint="default" w:ascii="Times New Roman" w:hAnsi="Times New Roman" w:cs="Times New Roman"/>
                <w:sz w:val="24"/>
                <w:szCs w:val="24"/>
              </w:rPr>
            </w:pPr>
            <w:r>
              <w:rPr>
                <w:rFonts w:hint="default" w:ascii="Times New Roman" w:hAnsi="Times New Roman" w:cs="Times New Roman"/>
                <w:b/>
                <w:sz w:val="24"/>
                <w:szCs w:val="24"/>
              </w:rPr>
              <w:t>Адрес для корреспонденции в Российской Федерации (с индексом):</w:t>
            </w:r>
            <w:r>
              <w:rPr>
                <w:rFonts w:hint="default" w:ascii="Times New Roman" w:hAnsi="Times New Roman"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4819" w:type="dxa"/>
            <w:noWrap w:val="0"/>
            <w:vAlign w:val="top"/>
          </w:tcPr>
          <w:p>
            <w:pPr>
              <w:widowControl w:val="0"/>
              <w:spacing w:before="100" w:beforeAutospacing="1" w:after="100" w:afterAutospacing="1"/>
              <w:ind w:right="72"/>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Электронная почта: </w:t>
            </w:r>
            <w:r>
              <w:rPr>
                <w:rFonts w:hint="default" w:ascii="Times New Roman" w:hAnsi="Times New Roman" w:cs="Times New Roman"/>
                <w:sz w:val="24"/>
                <w:szCs w:val="24"/>
                <w:lang w:val="en-US"/>
              </w:rPr>
              <w:t>ulov</w:t>
            </w:r>
            <w:r>
              <w:rPr>
                <w:rFonts w:hint="default" w:ascii="Times New Roman" w:hAnsi="Times New Roman" w:cs="Times New Roman"/>
                <w:sz w:val="24"/>
                <w:szCs w:val="24"/>
              </w:rPr>
              <w:t>@</w:t>
            </w:r>
            <w:r>
              <w:rPr>
                <w:rFonts w:hint="default" w:ascii="Times New Roman" w:hAnsi="Times New Roman" w:cs="Times New Roman"/>
                <w:sz w:val="24"/>
                <w:szCs w:val="24"/>
                <w:lang w:val="en-US"/>
              </w:rPr>
              <w:t>ulcomsys</w:t>
            </w:r>
            <w:r>
              <w:rPr>
                <w:rFonts w:hint="default" w:ascii="Times New Roman" w:hAnsi="Times New Roman" w:cs="Times New Roman"/>
                <w:sz w:val="24"/>
                <w:szCs w:val="24"/>
              </w:rPr>
              <w:t>.</w:t>
            </w:r>
            <w:r>
              <w:rPr>
                <w:rFonts w:hint="default" w:ascii="Times New Roman" w:hAnsi="Times New Roman" w:cs="Times New Roman"/>
                <w:sz w:val="24"/>
                <w:szCs w:val="24"/>
                <w:lang w:val="en-US"/>
              </w:rPr>
              <w:t>ru</w:t>
            </w:r>
          </w:p>
        </w:tc>
        <w:tc>
          <w:tcPr>
            <w:tcW w:w="4820" w:type="dxa"/>
            <w:noWrap w:val="0"/>
            <w:vAlign w:val="top"/>
          </w:tcPr>
          <w:p>
            <w:pPr>
              <w:widowControl w:val="0"/>
              <w:spacing w:before="100" w:beforeAutospacing="1" w:after="100" w:afterAutospacing="1"/>
              <w:ind w:right="72"/>
              <w:rPr>
                <w:rFonts w:hint="default" w:ascii="Times New Roman" w:hAnsi="Times New Roman" w:cs="Times New Roman"/>
                <w:sz w:val="24"/>
                <w:szCs w:val="24"/>
              </w:rPr>
            </w:pPr>
            <w:r>
              <w:rPr>
                <w:rFonts w:hint="default" w:ascii="Times New Roman" w:hAnsi="Times New Roman" w:cs="Times New Roman"/>
                <w:b/>
                <w:sz w:val="24"/>
                <w:szCs w:val="24"/>
              </w:rPr>
              <w:t>Электронная почта</w:t>
            </w:r>
            <w:r>
              <w:rPr>
                <w:rFonts w:hint="default" w:ascii="Times New Roman" w:hAnsi="Times New Roman"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4819" w:type="dxa"/>
            <w:noWrap w:val="0"/>
            <w:vAlign w:val="top"/>
          </w:tcPr>
          <w:p>
            <w:pPr>
              <w:widowControl w:val="0"/>
              <w:rPr>
                <w:rFonts w:hint="default" w:ascii="Times New Roman" w:hAnsi="Times New Roman" w:cs="Times New Roman"/>
                <w:sz w:val="24"/>
                <w:szCs w:val="24"/>
              </w:rPr>
            </w:pPr>
            <w:r>
              <w:rPr>
                <w:rFonts w:hint="default" w:ascii="Times New Roman" w:hAnsi="Times New Roman" w:cs="Times New Roman"/>
                <w:b/>
                <w:bCs/>
                <w:sz w:val="24"/>
                <w:szCs w:val="24"/>
              </w:rPr>
              <w:t xml:space="preserve">Тел. (с кодом): </w:t>
            </w:r>
            <w:r>
              <w:rPr>
                <w:rFonts w:hint="default" w:ascii="Times New Roman" w:hAnsi="Times New Roman" w:cs="Times New Roman"/>
                <w:sz w:val="24"/>
                <w:szCs w:val="24"/>
                <w:lang w:val="en-US"/>
              </w:rPr>
              <w:t>+7(84235)2-65-68</w:t>
            </w:r>
          </w:p>
        </w:tc>
        <w:tc>
          <w:tcPr>
            <w:tcW w:w="4820" w:type="dxa"/>
            <w:noWrap w:val="0"/>
            <w:vAlign w:val="top"/>
          </w:tcPr>
          <w:p>
            <w:pPr>
              <w:widowControl w:val="0"/>
              <w:rPr>
                <w:rFonts w:hint="default" w:ascii="Times New Roman" w:hAnsi="Times New Roman" w:cs="Times New Roman"/>
                <w:sz w:val="24"/>
                <w:szCs w:val="24"/>
              </w:rPr>
            </w:pPr>
            <w:r>
              <w:rPr>
                <w:rFonts w:hint="default" w:ascii="Times New Roman" w:hAnsi="Times New Roman" w:cs="Times New Roman"/>
                <w:b/>
                <w:sz w:val="24"/>
                <w:szCs w:val="24"/>
              </w:rPr>
              <w:t>Тел. (с кодом):</w:t>
            </w:r>
            <w:r>
              <w:rPr>
                <w:rFonts w:hint="default" w:ascii="Times New Roman" w:hAnsi="Times New Roman"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4819" w:type="dxa"/>
            <w:noWrap w:val="0"/>
            <w:vAlign w:val="top"/>
          </w:tcPr>
          <w:p>
            <w:pPr>
              <w:adjustRightInd w:val="0"/>
              <w:rPr>
                <w:rFonts w:hint="default" w:ascii="Times New Roman" w:hAnsi="Times New Roman" w:cs="Times New Roman"/>
                <w:b/>
                <w:bCs/>
                <w:sz w:val="24"/>
                <w:szCs w:val="24"/>
              </w:rPr>
            </w:pPr>
            <w:r>
              <w:rPr>
                <w:rFonts w:hint="default" w:ascii="Times New Roman" w:hAnsi="Times New Roman" w:cs="Times New Roman"/>
                <w:b/>
                <w:bCs/>
                <w:sz w:val="24"/>
                <w:szCs w:val="24"/>
              </w:rPr>
              <w:t>Факс (с кодом):</w:t>
            </w:r>
          </w:p>
        </w:tc>
        <w:tc>
          <w:tcPr>
            <w:tcW w:w="4820" w:type="dxa"/>
            <w:noWrap w:val="0"/>
            <w:vAlign w:val="top"/>
          </w:tcPr>
          <w:p>
            <w:pPr>
              <w:widowControl w:val="0"/>
              <w:rPr>
                <w:rFonts w:hint="default" w:ascii="Times New Roman" w:hAnsi="Times New Roman" w:cs="Times New Roman"/>
                <w:b/>
                <w:bCs/>
                <w:sz w:val="24"/>
                <w:szCs w:val="24"/>
              </w:rPr>
            </w:pPr>
            <w:r>
              <w:rPr>
                <w:rFonts w:hint="default" w:ascii="Times New Roman" w:hAnsi="Times New Roman" w:cs="Times New Roman"/>
                <w:b/>
                <w:sz w:val="24"/>
                <w:szCs w:val="24"/>
              </w:rPr>
              <w:t>Факс (с кодом):</w:t>
            </w:r>
            <w:r>
              <w:rPr>
                <w:rFonts w:hint="default" w:ascii="Times New Roman" w:hAnsi="Times New Roman" w:cs="Times New Roman"/>
                <w:sz w:val="24"/>
                <w:szCs w:val="24"/>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7" w:hRule="atLeast"/>
        </w:trPr>
        <w:tc>
          <w:tcPr>
            <w:tcW w:w="4819" w:type="dxa"/>
            <w:noWrap w:val="0"/>
            <w:vAlign w:val="top"/>
          </w:tcPr>
          <w:p>
            <w:pPr>
              <w:pStyle w:val="45"/>
              <w:snapToGrid w:val="0"/>
              <w:rPr>
                <w:rFonts w:hint="default" w:ascii="Times New Roman" w:hAnsi="Times New Roman" w:cs="Times New Roman"/>
                <w:b/>
                <w:bCs/>
                <w:color w:val="000000"/>
                <w:sz w:val="24"/>
                <w:szCs w:val="24"/>
              </w:rPr>
            </w:pPr>
            <w:r>
              <w:rPr>
                <w:rFonts w:hint="default" w:ascii="Times New Roman" w:hAnsi="Times New Roman" w:cs="Times New Roman"/>
                <w:b/>
                <w:bCs/>
                <w:sz w:val="24"/>
                <w:szCs w:val="24"/>
              </w:rPr>
              <w:t>Банковские реквизиты:</w:t>
            </w:r>
          </w:p>
          <w:p>
            <w:pPr>
              <w:pStyle w:val="45"/>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 xml:space="preserve">Расчетный счет № </w:t>
            </w:r>
            <w:r>
              <w:rPr>
                <w:rFonts w:hint="default" w:ascii="Times New Roman" w:hAnsi="Times New Roman" w:cs="Times New Roman"/>
                <w:bCs/>
                <w:color w:val="000000"/>
                <w:sz w:val="24"/>
                <w:szCs w:val="24"/>
              </w:rPr>
              <w:t>40702810500370000505</w:t>
            </w:r>
          </w:p>
          <w:p>
            <w:pPr>
              <w:pStyle w:val="45"/>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в Филиале банка "Газпромбанк" (АО) "Поволжский"</w:t>
            </w:r>
          </w:p>
          <w:p>
            <w:pPr>
              <w:pStyle w:val="45"/>
              <w:rPr>
                <w:rFonts w:hint="default" w:ascii="Times New Roman" w:hAnsi="Times New Roman" w:cs="Times New Roman"/>
                <w:b/>
                <w:bCs/>
                <w:color w:val="000000"/>
                <w:sz w:val="24"/>
                <w:szCs w:val="24"/>
              </w:rPr>
            </w:pPr>
            <w:r>
              <w:rPr>
                <w:rFonts w:hint="default" w:ascii="Times New Roman" w:hAnsi="Times New Roman" w:cs="Times New Roman"/>
                <w:b/>
                <w:bCs/>
                <w:color w:val="000000"/>
                <w:sz w:val="24"/>
                <w:szCs w:val="24"/>
              </w:rPr>
              <w:t xml:space="preserve">кор.счет № </w:t>
            </w:r>
            <w:r>
              <w:rPr>
                <w:rFonts w:hint="default" w:ascii="Times New Roman" w:hAnsi="Times New Roman" w:cs="Times New Roman"/>
                <w:bCs/>
                <w:color w:val="000000"/>
                <w:sz w:val="24"/>
                <w:szCs w:val="24"/>
              </w:rPr>
              <w:t>30101810000000000917</w:t>
            </w:r>
          </w:p>
          <w:p>
            <w:pPr>
              <w:widowControl w:val="0"/>
              <w:rPr>
                <w:rFonts w:hint="default" w:ascii="Times New Roman" w:hAnsi="Times New Roman" w:cs="Times New Roman"/>
                <w:bCs/>
                <w:color w:val="000000"/>
                <w:sz w:val="24"/>
                <w:szCs w:val="24"/>
              </w:rPr>
            </w:pPr>
            <w:r>
              <w:rPr>
                <w:rFonts w:hint="default" w:ascii="Times New Roman" w:hAnsi="Times New Roman" w:cs="Times New Roman"/>
                <w:b/>
                <w:bCs/>
                <w:color w:val="000000"/>
                <w:sz w:val="24"/>
                <w:szCs w:val="24"/>
              </w:rPr>
              <w:t xml:space="preserve">БИК: </w:t>
            </w:r>
            <w:r>
              <w:rPr>
                <w:rFonts w:hint="default" w:ascii="Times New Roman" w:hAnsi="Times New Roman" w:cs="Times New Roman"/>
                <w:bCs/>
                <w:color w:val="000000"/>
                <w:sz w:val="24"/>
                <w:szCs w:val="24"/>
              </w:rPr>
              <w:t>043601917</w:t>
            </w:r>
          </w:p>
        </w:tc>
        <w:tc>
          <w:tcPr>
            <w:tcW w:w="4820" w:type="dxa"/>
            <w:noWrap w:val="0"/>
            <w:vAlign w:val="top"/>
          </w:tcPr>
          <w:p>
            <w:pPr>
              <w:pStyle w:val="45"/>
              <w:snapToGrid w:val="0"/>
              <w:rPr>
                <w:rFonts w:hint="default" w:ascii="Times New Roman" w:hAnsi="Times New Roman" w:cs="Times New Roman"/>
                <w:b/>
                <w:bCs/>
                <w:color w:val="000000"/>
                <w:sz w:val="24"/>
                <w:szCs w:val="24"/>
              </w:rPr>
            </w:pPr>
            <w:r>
              <w:rPr>
                <w:rFonts w:hint="default" w:ascii="Times New Roman" w:hAnsi="Times New Roman" w:cs="Times New Roman"/>
                <w:b/>
                <w:bCs/>
                <w:sz w:val="24"/>
                <w:szCs w:val="24"/>
              </w:rPr>
              <w:t>Банковские реквизиты:</w:t>
            </w:r>
          </w:p>
          <w:p>
            <w:pPr>
              <w:pStyle w:val="45"/>
              <w:rPr>
                <w:rFonts w:hint="default" w:ascii="Times New Roman" w:hAnsi="Times New Roman" w:cs="Times New Roman"/>
                <w:b/>
                <w:bCs/>
                <w:color w:val="000000"/>
                <w:sz w:val="24"/>
                <w:szCs w:val="24"/>
              </w:rPr>
            </w:pPr>
            <w:r>
              <w:rPr>
                <w:rFonts w:hint="default" w:ascii="Times New Roman" w:hAnsi="Times New Roman" w:cs="Times New Roman"/>
                <w:b/>
                <w:bCs/>
                <w:color w:val="000000"/>
                <w:sz w:val="24"/>
                <w:szCs w:val="24"/>
              </w:rPr>
              <w:t xml:space="preserve">Расчетный счет № </w:t>
            </w:r>
          </w:p>
          <w:p>
            <w:pPr>
              <w:pStyle w:val="45"/>
              <w:rPr>
                <w:rFonts w:hint="default" w:ascii="Times New Roman" w:hAnsi="Times New Roman" w:cs="Times New Roman"/>
                <w:b/>
                <w:bCs/>
                <w:color w:val="000000"/>
                <w:sz w:val="24"/>
                <w:szCs w:val="24"/>
              </w:rPr>
            </w:pPr>
            <w:r>
              <w:rPr>
                <w:rFonts w:hint="default" w:ascii="Times New Roman" w:hAnsi="Times New Roman" w:cs="Times New Roman"/>
                <w:b/>
                <w:bCs/>
                <w:color w:val="000000"/>
                <w:sz w:val="24"/>
                <w:szCs w:val="24"/>
              </w:rPr>
              <w:t xml:space="preserve">кор.счет № </w:t>
            </w:r>
          </w:p>
          <w:p>
            <w:pPr>
              <w:rPr>
                <w:rFonts w:hint="default" w:ascii="Times New Roman" w:hAnsi="Times New Roman" w:cs="Times New Roman"/>
                <w:sz w:val="24"/>
                <w:szCs w:val="24"/>
              </w:rPr>
            </w:pPr>
            <w:r>
              <w:rPr>
                <w:rFonts w:hint="default" w:ascii="Times New Roman" w:hAnsi="Times New Roman" w:cs="Times New Roman"/>
                <w:b/>
                <w:bCs/>
                <w:color w:val="000000"/>
                <w:sz w:val="24"/>
                <w:szCs w:val="24"/>
              </w:rPr>
              <w:t xml:space="preserve">БИК: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9" w:hRule="atLeast"/>
        </w:trPr>
        <w:tc>
          <w:tcPr>
            <w:tcW w:w="4819" w:type="dxa"/>
            <w:noWrap w:val="0"/>
            <w:vAlign w:val="top"/>
          </w:tcPr>
          <w:p>
            <w:pPr>
              <w:pStyle w:val="45"/>
              <w:snapToGrid w:val="0"/>
              <w:rPr>
                <w:rFonts w:hint="default" w:ascii="Times New Roman" w:hAnsi="Times New Roman" w:cs="Times New Roman"/>
                <w:b/>
                <w:bCs/>
                <w:color w:val="000000"/>
                <w:sz w:val="24"/>
                <w:szCs w:val="24"/>
              </w:rPr>
            </w:pPr>
            <w:r>
              <w:rPr>
                <w:rFonts w:hint="default" w:ascii="Times New Roman" w:hAnsi="Times New Roman" w:cs="Times New Roman"/>
                <w:b/>
                <w:bCs/>
                <w:color w:val="000000"/>
                <w:sz w:val="24"/>
                <w:szCs w:val="24"/>
              </w:rPr>
              <w:t>Главный управляющий директор</w:t>
            </w:r>
          </w:p>
          <w:p>
            <w:pPr>
              <w:pStyle w:val="45"/>
              <w:rPr>
                <w:rFonts w:hint="default" w:ascii="Times New Roman" w:hAnsi="Times New Roman" w:cs="Times New Roman"/>
                <w:b/>
                <w:bCs/>
                <w:color w:val="000000"/>
                <w:sz w:val="24"/>
                <w:szCs w:val="24"/>
              </w:rPr>
            </w:pPr>
          </w:p>
          <w:p>
            <w:pPr>
              <w:pStyle w:val="45"/>
              <w:rPr>
                <w:rFonts w:hint="default" w:ascii="Times New Roman" w:hAnsi="Times New Roman" w:cs="Times New Roman"/>
                <w:b/>
                <w:bCs/>
                <w:color w:val="000000"/>
                <w:sz w:val="24"/>
                <w:szCs w:val="24"/>
              </w:rPr>
            </w:pPr>
          </w:p>
          <w:p>
            <w:pPr>
              <w:pStyle w:val="45"/>
              <w:rPr>
                <w:rFonts w:hint="default" w:ascii="Times New Roman" w:hAnsi="Times New Roman" w:cs="Times New Roman"/>
                <w:b/>
                <w:bCs/>
                <w:sz w:val="24"/>
                <w:szCs w:val="24"/>
              </w:rPr>
            </w:pPr>
            <w:r>
              <w:rPr>
                <w:rFonts w:hint="default" w:ascii="Times New Roman" w:hAnsi="Times New Roman" w:cs="Times New Roman"/>
                <w:b/>
                <w:bCs/>
                <w:color w:val="000000"/>
                <w:sz w:val="24"/>
                <w:szCs w:val="24"/>
              </w:rPr>
              <w:t>___________________/ Трофимов А.В. /</w:t>
            </w:r>
          </w:p>
          <w:p>
            <w:pPr>
              <w:widowControl w:val="0"/>
              <w:spacing w:line="360" w:lineRule="auto"/>
              <w:rPr>
                <w:rFonts w:hint="default" w:ascii="Times New Roman" w:hAnsi="Times New Roman" w:cs="Times New Roman"/>
                <w:bCs/>
                <w:sz w:val="24"/>
                <w:szCs w:val="24"/>
              </w:rPr>
            </w:pPr>
            <w:r>
              <w:rPr>
                <w:rFonts w:hint="default" w:ascii="Times New Roman" w:hAnsi="Times New Roman" w:cs="Times New Roman"/>
                <w:b/>
                <w:bCs/>
                <w:sz w:val="24"/>
                <w:szCs w:val="24"/>
              </w:rPr>
              <w:t>Дата подписания «___»______ 202</w:t>
            </w:r>
            <w:r>
              <w:rPr>
                <w:rFonts w:hint="default" w:ascii="Times New Roman" w:hAnsi="Times New Roman" w:cs="Times New Roman"/>
                <w:b/>
                <w:bCs/>
                <w:sz w:val="24"/>
                <w:szCs w:val="24"/>
                <w:lang w:val="ru-RU"/>
              </w:rPr>
              <w:t>2</w:t>
            </w:r>
            <w:r>
              <w:rPr>
                <w:rFonts w:hint="default" w:ascii="Times New Roman" w:hAnsi="Times New Roman" w:cs="Times New Roman"/>
                <w:b/>
                <w:bCs/>
                <w:sz w:val="24"/>
                <w:szCs w:val="24"/>
              </w:rPr>
              <w:t xml:space="preserve"> года</w:t>
            </w:r>
          </w:p>
        </w:tc>
        <w:tc>
          <w:tcPr>
            <w:tcW w:w="4820" w:type="dxa"/>
            <w:noWrap w:val="0"/>
            <w:vAlign w:val="top"/>
          </w:tcPr>
          <w:p>
            <w:pPr>
              <w:rPr>
                <w:rFonts w:hint="default" w:ascii="Times New Roman" w:hAnsi="Times New Roman" w:cs="Times New Roman"/>
                <w:b/>
                <w:sz w:val="24"/>
                <w:szCs w:val="24"/>
              </w:rPr>
            </w:pPr>
          </w:p>
          <w:p>
            <w:pPr>
              <w:rPr>
                <w:rFonts w:hint="default" w:ascii="Times New Roman" w:hAnsi="Times New Roman" w:cs="Times New Roman"/>
                <w:b/>
                <w:sz w:val="24"/>
                <w:szCs w:val="24"/>
              </w:rPr>
            </w:pPr>
          </w:p>
          <w:p>
            <w:pPr>
              <w:rPr>
                <w:rFonts w:hint="default" w:ascii="Times New Roman" w:hAnsi="Times New Roman" w:cs="Times New Roman"/>
                <w:b/>
                <w:sz w:val="24"/>
                <w:szCs w:val="24"/>
              </w:rPr>
            </w:pPr>
          </w:p>
          <w:p>
            <w:pPr>
              <w:rPr>
                <w:rFonts w:hint="default" w:ascii="Times New Roman" w:hAnsi="Times New Roman" w:cs="Times New Roman"/>
                <w:b/>
                <w:sz w:val="24"/>
                <w:szCs w:val="24"/>
              </w:rPr>
            </w:pPr>
            <w:r>
              <w:rPr>
                <w:rFonts w:hint="default" w:ascii="Times New Roman" w:hAnsi="Times New Roman" w:cs="Times New Roman"/>
                <w:b/>
                <w:sz w:val="24"/>
                <w:szCs w:val="24"/>
              </w:rPr>
              <w:t xml:space="preserve">___________________/ </w:t>
            </w:r>
            <w:r>
              <w:rPr>
                <w:rFonts w:hint="default" w:ascii="Times New Roman" w:hAnsi="Times New Roman" w:cs="Times New Roman"/>
                <w:b/>
                <w:sz w:val="24"/>
                <w:szCs w:val="24"/>
                <w:lang w:val="ru-RU"/>
              </w:rPr>
              <w:t>________</w:t>
            </w:r>
            <w:r>
              <w:rPr>
                <w:rFonts w:hint="default" w:ascii="Times New Roman" w:hAnsi="Times New Roman" w:cs="Times New Roman"/>
                <w:b/>
                <w:sz w:val="24"/>
                <w:szCs w:val="24"/>
              </w:rPr>
              <w:t xml:space="preserve"> /</w:t>
            </w:r>
          </w:p>
          <w:p>
            <w:pPr>
              <w:rPr>
                <w:rFonts w:hint="default" w:ascii="Times New Roman" w:hAnsi="Times New Roman" w:cs="Times New Roman"/>
                <w:sz w:val="24"/>
                <w:szCs w:val="24"/>
              </w:rPr>
            </w:pPr>
            <w:r>
              <w:rPr>
                <w:rFonts w:hint="default" w:ascii="Times New Roman" w:hAnsi="Times New Roman" w:cs="Times New Roman"/>
                <w:b/>
                <w:sz w:val="24"/>
                <w:szCs w:val="24"/>
              </w:rPr>
              <w:t>Дата подписания «____» _____ 202</w:t>
            </w:r>
            <w:r>
              <w:rPr>
                <w:rFonts w:hint="default" w:ascii="Times New Roman" w:hAnsi="Times New Roman" w:cs="Times New Roman"/>
                <w:b/>
                <w:sz w:val="24"/>
                <w:szCs w:val="24"/>
                <w:lang w:val="ru-RU"/>
              </w:rPr>
              <w:t>2</w:t>
            </w:r>
            <w:r>
              <w:rPr>
                <w:rFonts w:hint="default" w:ascii="Times New Roman" w:hAnsi="Times New Roman" w:cs="Times New Roman"/>
                <w:b/>
                <w:sz w:val="24"/>
                <w:szCs w:val="24"/>
              </w:rPr>
              <w:t xml:space="preserve"> года</w:t>
            </w:r>
          </w:p>
        </w:tc>
      </w:tr>
    </w:tbl>
    <w:p>
      <w:pPr>
        <w:keepLines/>
        <w:widowControl w:val="0"/>
        <w:spacing w:after="120"/>
        <w:jc w:val="center"/>
        <w:rPr>
          <w:rFonts w:hint="default" w:ascii="Times New Roman" w:hAnsi="Times New Roman" w:cs="Times New Roman"/>
          <w:sz w:val="24"/>
          <w:szCs w:val="24"/>
        </w:rPr>
      </w:pPr>
    </w:p>
    <w:p>
      <w:pPr>
        <w:rPr>
          <w:rFonts w:hint="default" w:ascii="Times New Roman" w:hAnsi="Times New Roman" w:cs="Times New Roman"/>
          <w:sz w:val="24"/>
          <w:szCs w:val="24"/>
        </w:rPr>
        <w:sectPr>
          <w:footerReference r:id="rId3" w:type="default"/>
          <w:pgSz w:w="11906" w:h="16838"/>
          <w:pgMar w:top="1134" w:right="567" w:bottom="1134" w:left="1134" w:header="709" w:footer="709" w:gutter="0"/>
          <w:cols w:space="720" w:num="1"/>
          <w:docGrid w:linePitch="360" w:charSpace="0"/>
        </w:sectPr>
      </w:pPr>
      <w:bookmarkStart w:id="3" w:name="RANGE!A1:S37"/>
      <w:bookmarkEnd w:id="3"/>
    </w:p>
    <w:p>
      <w:pPr>
        <w:ind w:left="9600" w:leftChars="0" w:firstLine="0" w:firstLineChars="0"/>
        <w:jc w:val="right"/>
        <w:rPr>
          <w:rFonts w:hint="default" w:ascii="Times New Roman" w:hAnsi="Times New Roman" w:cs="Times New Roman"/>
          <w:b/>
          <w:sz w:val="24"/>
          <w:szCs w:val="24"/>
        </w:rPr>
      </w:pPr>
      <w:r>
        <w:rPr>
          <w:rFonts w:hint="default" w:ascii="Times New Roman" w:hAnsi="Times New Roman" w:cs="Times New Roman"/>
          <w:b/>
          <w:bCs/>
          <w:sz w:val="24"/>
          <w:szCs w:val="24"/>
        </w:rPr>
        <w:t>Приложение №</w:t>
      </w:r>
      <w:r>
        <w:rPr>
          <w:rFonts w:hint="default" w:ascii="Times New Roman" w:hAnsi="Times New Roman" w:cs="Times New Roman"/>
          <w:b/>
          <w:bCs/>
          <w:sz w:val="24"/>
          <w:szCs w:val="24"/>
          <w:lang w:val="ru-RU"/>
        </w:rPr>
        <w:t xml:space="preserve"> </w:t>
      </w:r>
      <w:r>
        <w:rPr>
          <w:rFonts w:hint="default" w:ascii="Times New Roman" w:hAnsi="Times New Roman" w:cs="Times New Roman"/>
          <w:b/>
          <w:bCs/>
          <w:sz w:val="24"/>
          <w:szCs w:val="24"/>
        </w:rPr>
        <w:t>1</w:t>
      </w:r>
      <w:r>
        <w:rPr>
          <w:rFonts w:hint="default" w:ascii="Times New Roman" w:hAnsi="Times New Roman" w:cs="Times New Roman"/>
          <w:b/>
          <w:bCs/>
          <w:sz w:val="24"/>
          <w:szCs w:val="24"/>
          <w:lang w:val="ru-RU"/>
        </w:rPr>
        <w:t xml:space="preserve"> </w:t>
      </w:r>
      <w:r>
        <w:rPr>
          <w:rFonts w:hint="default" w:ascii="Times New Roman" w:hAnsi="Times New Roman" w:cs="Times New Roman"/>
          <w:b/>
          <w:sz w:val="24"/>
          <w:szCs w:val="24"/>
        </w:rPr>
        <w:t>к Договору №______</w:t>
      </w:r>
    </w:p>
    <w:p>
      <w:pPr>
        <w:rPr>
          <w:rFonts w:hint="default" w:ascii="Times New Roman" w:hAnsi="Times New Roman" w:cs="Times New Roman"/>
          <w:sz w:val="24"/>
          <w:szCs w:val="24"/>
        </w:rPr>
      </w:pPr>
    </w:p>
    <w:tbl>
      <w:tblPr>
        <w:tblStyle w:val="7"/>
        <w:tblW w:w="5000" w:type="pct"/>
        <w:jc w:val="center"/>
        <w:tblLayout w:type="fixed"/>
        <w:tblCellMar>
          <w:top w:w="0" w:type="dxa"/>
          <w:left w:w="108" w:type="dxa"/>
          <w:bottom w:w="0" w:type="dxa"/>
          <w:right w:w="108" w:type="dxa"/>
        </w:tblCellMar>
      </w:tblPr>
      <w:tblGrid>
        <w:gridCol w:w="623"/>
        <w:gridCol w:w="854"/>
        <w:gridCol w:w="2378"/>
        <w:gridCol w:w="873"/>
        <w:gridCol w:w="782"/>
        <w:gridCol w:w="618"/>
        <w:gridCol w:w="1122"/>
        <w:gridCol w:w="1090"/>
        <w:gridCol w:w="1038"/>
        <w:gridCol w:w="1213"/>
        <w:gridCol w:w="1296"/>
        <w:gridCol w:w="682"/>
        <w:gridCol w:w="1103"/>
        <w:gridCol w:w="1114"/>
      </w:tblGrid>
      <w:tr>
        <w:tblPrEx>
          <w:tblCellMar>
            <w:top w:w="0" w:type="dxa"/>
            <w:left w:w="108" w:type="dxa"/>
            <w:bottom w:w="0" w:type="dxa"/>
            <w:right w:w="108" w:type="dxa"/>
          </w:tblCellMar>
        </w:tblPrEx>
        <w:trPr>
          <w:wAfter w:w="0" w:type="auto"/>
          <w:trHeight w:val="255" w:hRule="atLeast"/>
          <w:jc w:val="center"/>
        </w:trPr>
        <w:tc>
          <w:tcPr>
            <w:tcW w:w="5000" w:type="pct"/>
            <w:gridSpan w:val="14"/>
            <w:tcBorders>
              <w:top w:val="nil"/>
              <w:left w:val="nil"/>
              <w:bottom w:val="nil"/>
              <w:right w:val="nil"/>
            </w:tcBorders>
            <w:noWrap/>
            <w:vAlign w:val="bottom"/>
          </w:tcPr>
          <w:p>
            <w:pPr>
              <w:jc w:val="left"/>
              <w:rPr>
                <w:rFonts w:hint="default" w:ascii="Times New Roman" w:hAnsi="Times New Roman" w:cs="Times New Roman"/>
                <w:sz w:val="24"/>
                <w:szCs w:val="24"/>
              </w:rPr>
            </w:pPr>
            <w:r>
              <w:rPr>
                <w:rFonts w:hint="default" w:ascii="Times New Roman" w:hAnsi="Times New Roman" w:cs="Times New Roman"/>
                <w:b/>
                <w:sz w:val="24"/>
                <w:szCs w:val="24"/>
              </w:rPr>
              <w:t>ФОРМА</w:t>
            </w:r>
          </w:p>
        </w:tc>
      </w:tr>
      <w:tr>
        <w:tblPrEx>
          <w:tblCellMar>
            <w:top w:w="0" w:type="dxa"/>
            <w:left w:w="108" w:type="dxa"/>
            <w:bottom w:w="0" w:type="dxa"/>
            <w:right w:w="108" w:type="dxa"/>
          </w:tblCellMar>
        </w:tblPrEx>
        <w:trPr>
          <w:wAfter w:w="0" w:type="auto"/>
          <w:trHeight w:val="540" w:hRule="atLeast"/>
          <w:jc w:val="center"/>
        </w:trPr>
        <w:tc>
          <w:tcPr>
            <w:tcW w:w="5000" w:type="pct"/>
            <w:gridSpan w:val="14"/>
            <w:tcBorders>
              <w:top w:val="nil"/>
              <w:left w:val="nil"/>
              <w:bottom w:val="nil"/>
              <w:right w:val="nil"/>
            </w:tcBorders>
            <w:noWrap w:val="0"/>
            <w:vAlign w:val="bottom"/>
          </w:tcPr>
          <w:p>
            <w:pPr>
              <w:ind w:firstLine="709"/>
              <w:jc w:val="both"/>
              <w:rPr>
                <w:rFonts w:hint="default" w:ascii="Times New Roman" w:hAnsi="Times New Roman" w:cs="Times New Roman"/>
                <w:sz w:val="24"/>
                <w:szCs w:val="24"/>
              </w:rPr>
            </w:pPr>
            <w:r>
              <w:rPr>
                <w:rFonts w:hint="default" w:ascii="Times New Roman" w:hAnsi="Times New Roman" w:cs="Times New Roman"/>
                <w:sz w:val="24"/>
                <w:szCs w:val="24"/>
              </w:rPr>
              <w:t>Общество с ограниченной ответственностью «Ульяновский областной водоканал», в лице Главного управляющего директора Трофимова Алексея Валерьевича, действующего на основании доверенности № 22 от 20.02.202</w:t>
            </w:r>
            <w:r>
              <w:rPr>
                <w:rFonts w:hint="default" w:ascii="Times New Roman" w:hAnsi="Times New Roman" w:cs="Times New Roman"/>
                <w:sz w:val="24"/>
                <w:szCs w:val="24"/>
                <w:lang w:val="ru-RU"/>
              </w:rPr>
              <w:t>1</w:t>
            </w:r>
            <w:r>
              <w:rPr>
                <w:rFonts w:hint="default" w:ascii="Times New Roman" w:hAnsi="Times New Roman" w:cs="Times New Roman"/>
                <w:sz w:val="24"/>
                <w:szCs w:val="24"/>
              </w:rPr>
              <w:t xml:space="preserve">г., именуемое в дальнейшем </w:t>
            </w:r>
            <w:r>
              <w:rPr>
                <w:rFonts w:hint="default" w:ascii="Times New Roman" w:hAnsi="Times New Roman" w:cs="Times New Roman"/>
                <w:b/>
                <w:bCs/>
                <w:sz w:val="24"/>
                <w:szCs w:val="24"/>
              </w:rPr>
              <w:t>«Покупатель»</w:t>
            </w:r>
            <w:r>
              <w:rPr>
                <w:rFonts w:hint="default" w:ascii="Times New Roman" w:hAnsi="Times New Roman" w:cs="Times New Roman"/>
                <w:sz w:val="24"/>
                <w:szCs w:val="24"/>
              </w:rPr>
              <w:t>, с одной стороны и</w:t>
            </w:r>
          </w:p>
          <w:p>
            <w:pPr>
              <w:ind w:firstLine="709"/>
              <w:jc w:val="both"/>
              <w:rPr>
                <w:rFonts w:hint="default" w:ascii="Times New Roman" w:hAnsi="Times New Roman" w:cs="Times New Roman"/>
                <w:b/>
                <w:bCs/>
                <w:sz w:val="24"/>
                <w:szCs w:val="24"/>
              </w:rPr>
            </w:pPr>
            <w:r>
              <w:rPr>
                <w:rFonts w:hint="default" w:ascii="Times New Roman" w:hAnsi="Times New Roman" w:cs="Times New Roman"/>
                <w:b/>
                <w:color w:val="000000"/>
                <w:sz w:val="24"/>
                <w:szCs w:val="24"/>
              </w:rPr>
              <w:t>«</w:t>
            </w:r>
            <w:r>
              <w:rPr>
                <w:rFonts w:hint="default" w:ascii="Times New Roman" w:hAnsi="Times New Roman" w:cs="Times New Roman"/>
                <w:b/>
                <w:sz w:val="24"/>
                <w:szCs w:val="24"/>
              </w:rPr>
              <w:t>_____________»,</w:t>
            </w:r>
            <w:r>
              <w:rPr>
                <w:rFonts w:hint="default" w:ascii="Times New Roman" w:hAnsi="Times New Roman" w:cs="Times New Roman"/>
                <w:sz w:val="24"/>
                <w:szCs w:val="24"/>
              </w:rPr>
              <w:t>___________________</w:t>
            </w:r>
            <w:r>
              <w:rPr>
                <w:rFonts w:hint="default" w:ascii="Times New Roman" w:hAnsi="Times New Roman" w:cs="Times New Roman"/>
                <w:b/>
                <w:sz w:val="24"/>
                <w:szCs w:val="24"/>
              </w:rPr>
              <w:t>«Поставщик»</w:t>
            </w:r>
            <w:r>
              <w:rPr>
                <w:rFonts w:hint="default" w:ascii="Times New Roman" w:hAnsi="Times New Roman" w:cs="Times New Roman"/>
                <w:sz w:val="24"/>
                <w:szCs w:val="24"/>
              </w:rPr>
              <w:t>, с другой стороны, именуемые в дальнейшем «Стороны», договорились о нижеследующем:</w:t>
            </w:r>
          </w:p>
        </w:tc>
      </w:tr>
      <w:tr>
        <w:tblPrEx>
          <w:tblCellMar>
            <w:top w:w="0" w:type="dxa"/>
            <w:left w:w="108" w:type="dxa"/>
            <w:bottom w:w="0" w:type="dxa"/>
            <w:right w:w="108" w:type="dxa"/>
          </w:tblCellMar>
        </w:tblPrEx>
        <w:trPr>
          <w:wAfter w:w="0" w:type="auto"/>
          <w:trHeight w:val="315" w:hRule="atLeast"/>
          <w:jc w:val="center"/>
        </w:trPr>
        <w:tc>
          <w:tcPr>
            <w:tcW w:w="5000" w:type="pct"/>
            <w:gridSpan w:val="14"/>
            <w:tcBorders>
              <w:top w:val="nil"/>
              <w:left w:val="nil"/>
              <w:bottom w:val="single" w:color="auto" w:sz="4" w:space="0"/>
              <w:right w:val="nil"/>
            </w:tcBorders>
            <w:noWrap w:val="0"/>
            <w:vAlign w:val="bottom"/>
          </w:tcPr>
          <w:p>
            <w:pPr>
              <w:numPr>
                <w:ilvl w:val="0"/>
                <w:numId w:val="6"/>
              </w:numPr>
              <w:rPr>
                <w:rFonts w:hint="default" w:ascii="Times New Roman" w:hAnsi="Times New Roman" w:cs="Times New Roman"/>
                <w:sz w:val="24"/>
                <w:szCs w:val="24"/>
              </w:rPr>
            </w:pPr>
            <w:r>
              <w:rPr>
                <w:rFonts w:hint="default" w:ascii="Times New Roman" w:hAnsi="Times New Roman" w:cs="Times New Roman"/>
                <w:sz w:val="24"/>
                <w:szCs w:val="24"/>
              </w:rPr>
              <w:t>Поставщик передает в собственность Покупателя, а Покупатель принимает и оплачивает Товар согласно настоящему Приложению.</w:t>
            </w:r>
          </w:p>
          <w:p>
            <w:pPr>
              <w:numPr>
                <w:ilvl w:val="0"/>
                <w:numId w:val="0"/>
              </w:numPr>
              <w:rPr>
                <w:rFonts w:hint="default" w:ascii="Times New Roman" w:hAnsi="Times New Roman" w:cs="Times New Roman"/>
                <w:sz w:val="24"/>
                <w:szCs w:val="24"/>
              </w:rPr>
            </w:pPr>
          </w:p>
        </w:tc>
      </w:tr>
      <w:tr>
        <w:tblPrEx>
          <w:tblCellMar>
            <w:top w:w="0" w:type="dxa"/>
            <w:left w:w="108" w:type="dxa"/>
            <w:bottom w:w="0" w:type="dxa"/>
            <w:right w:w="108" w:type="dxa"/>
          </w:tblCellMar>
        </w:tblPrEx>
        <w:trPr>
          <w:wAfter w:w="0" w:type="auto"/>
          <w:trHeight w:val="529" w:hRule="atLeast"/>
          <w:jc w:val="center"/>
        </w:trPr>
        <w:tc>
          <w:tcPr>
            <w:tcW w:w="210" w:type="pct"/>
            <w:vMerge w:val="restart"/>
            <w:tcBorders>
              <w:top w:val="single" w:color="auto" w:sz="4" w:space="0"/>
              <w:left w:val="single" w:color="auto" w:sz="4" w:space="0"/>
              <w:bottom w:val="single" w:color="auto" w:sz="4" w:space="0"/>
              <w:right w:val="single" w:color="auto" w:sz="4" w:space="0"/>
            </w:tcBorders>
            <w:noWrap/>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 п/п</w:t>
            </w:r>
          </w:p>
        </w:tc>
        <w:tc>
          <w:tcPr>
            <w:tcW w:w="1388"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Наименование Товара</w:t>
            </w:r>
          </w:p>
        </w:tc>
        <w:tc>
          <w:tcPr>
            <w:tcW w:w="264" w:type="pct"/>
            <w:vMerge w:val="restart"/>
            <w:tcBorders>
              <w:top w:val="single" w:color="auto" w:sz="4" w:space="0"/>
              <w:left w:val="single" w:color="auto" w:sz="4" w:space="0"/>
              <w:right w:val="single" w:color="auto" w:sz="4" w:space="0"/>
            </w:tcBorders>
            <w:noWrap/>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Покупатель</w:t>
            </w:r>
          </w:p>
        </w:tc>
        <w:tc>
          <w:tcPr>
            <w:tcW w:w="208" w:type="pct"/>
            <w:vMerge w:val="restart"/>
            <w:tcBorders>
              <w:top w:val="single" w:color="auto" w:sz="4" w:space="0"/>
              <w:left w:val="single" w:color="auto" w:sz="4" w:space="0"/>
              <w:right w:val="single" w:color="auto" w:sz="4" w:space="0"/>
            </w:tcBorders>
            <w:noWrap/>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Грузополучатель</w:t>
            </w:r>
          </w:p>
        </w:tc>
        <w:tc>
          <w:tcPr>
            <w:tcW w:w="379" w:type="pct"/>
            <w:vMerge w:val="restart"/>
            <w:tcBorders>
              <w:top w:val="single" w:color="auto" w:sz="4" w:space="0"/>
              <w:left w:val="single" w:color="auto" w:sz="4" w:space="0"/>
              <w:right w:val="single" w:color="auto" w:sz="4" w:space="0"/>
            </w:tcBorders>
            <w:noWrap w:val="0"/>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Пункт назначения</w:t>
            </w:r>
          </w:p>
        </w:tc>
        <w:tc>
          <w:tcPr>
            <w:tcW w:w="368" w:type="pct"/>
            <w:vMerge w:val="restart"/>
            <w:tcBorders>
              <w:top w:val="single" w:color="auto" w:sz="4" w:space="0"/>
              <w:left w:val="single" w:color="auto" w:sz="4" w:space="0"/>
              <w:right w:val="single" w:color="auto" w:sz="4" w:space="0"/>
            </w:tcBorders>
            <w:noWrap w:val="0"/>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Кол-во к поставке</w:t>
            </w:r>
          </w:p>
        </w:tc>
        <w:tc>
          <w:tcPr>
            <w:tcW w:w="351" w:type="pct"/>
            <w:vMerge w:val="restart"/>
            <w:tcBorders>
              <w:top w:val="single" w:color="auto" w:sz="4" w:space="0"/>
              <w:left w:val="single" w:color="auto" w:sz="4" w:space="0"/>
              <w:right w:val="single" w:color="auto" w:sz="4" w:space="0"/>
            </w:tcBorders>
            <w:noWrap w:val="0"/>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График поставки в 20</w:t>
            </w:r>
            <w:r>
              <w:rPr>
                <w:rFonts w:hint="default" w:ascii="Times New Roman" w:hAnsi="Times New Roman" w:cs="Times New Roman"/>
                <w:sz w:val="20"/>
                <w:szCs w:val="20"/>
                <w:lang w:val="en-US"/>
              </w:rPr>
              <w:t>2</w:t>
            </w:r>
            <w:r>
              <w:rPr>
                <w:rFonts w:hint="default" w:ascii="Times New Roman" w:hAnsi="Times New Roman" w:cs="Times New Roman"/>
                <w:sz w:val="20"/>
                <w:szCs w:val="20"/>
                <w:lang w:val="ru-RU"/>
              </w:rPr>
              <w:t>2</w:t>
            </w:r>
            <w:r>
              <w:rPr>
                <w:rFonts w:hint="default" w:ascii="Times New Roman" w:hAnsi="Times New Roman" w:cs="Times New Roman"/>
                <w:sz w:val="20"/>
                <w:szCs w:val="20"/>
              </w:rPr>
              <w:t xml:space="preserve"> году</w:t>
            </w:r>
          </w:p>
        </w:tc>
        <w:tc>
          <w:tcPr>
            <w:tcW w:w="410" w:type="pct"/>
            <w:vMerge w:val="restart"/>
            <w:tcBorders>
              <w:top w:val="single" w:color="auto" w:sz="4" w:space="0"/>
              <w:left w:val="single" w:color="auto" w:sz="4" w:space="0"/>
              <w:right w:val="single" w:color="auto" w:sz="4" w:space="0"/>
            </w:tcBorders>
            <w:noWrap w:val="0"/>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Цена за ед. Товара без НДС (руб.) на условии франко - пункт назначения</w:t>
            </w:r>
          </w:p>
        </w:tc>
        <w:tc>
          <w:tcPr>
            <w:tcW w:w="438" w:type="pct"/>
            <w:vMerge w:val="restart"/>
            <w:tcBorders>
              <w:top w:val="single" w:color="auto" w:sz="4" w:space="0"/>
              <w:left w:val="single" w:color="auto" w:sz="4" w:space="0"/>
              <w:right w:val="single" w:color="auto" w:sz="4" w:space="0"/>
            </w:tcBorders>
            <w:noWrap w:val="0"/>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Стоимость Товара без НДС (руб.) на условии франко -  пункт назначения</w:t>
            </w:r>
          </w:p>
        </w:tc>
        <w:tc>
          <w:tcPr>
            <w:tcW w:w="230" w:type="pct"/>
            <w:vMerge w:val="restart"/>
            <w:tcBorders>
              <w:top w:val="single" w:color="auto" w:sz="4" w:space="0"/>
              <w:left w:val="single" w:color="auto" w:sz="4" w:space="0"/>
              <w:right w:val="single" w:color="auto" w:sz="4" w:space="0"/>
            </w:tcBorders>
            <w:noWrap w:val="0"/>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Сумма НДС (руб.)</w:t>
            </w:r>
          </w:p>
        </w:tc>
        <w:tc>
          <w:tcPr>
            <w:tcW w:w="372" w:type="pct"/>
            <w:vMerge w:val="restart"/>
            <w:tcBorders>
              <w:top w:val="single" w:color="auto" w:sz="4" w:space="0"/>
              <w:left w:val="single" w:color="auto" w:sz="4" w:space="0"/>
              <w:right w:val="single" w:color="auto" w:sz="4" w:space="0"/>
            </w:tcBorders>
            <w:noWrap w:val="0"/>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Общая стоимость Товара (руб.) на условии франко - пункт назначения, с учетом НДС</w:t>
            </w:r>
          </w:p>
        </w:tc>
        <w:tc>
          <w:tcPr>
            <w:tcW w:w="376" w:type="pct"/>
            <w:vMerge w:val="restart"/>
            <w:tcBorders>
              <w:top w:val="single" w:color="auto" w:sz="4" w:space="0"/>
              <w:left w:val="single" w:color="auto" w:sz="4" w:space="0"/>
              <w:right w:val="single" w:color="auto" w:sz="4" w:space="0"/>
            </w:tcBorders>
            <w:noWrap w:val="0"/>
            <w:vAlign w:val="top"/>
          </w:tcPr>
          <w:p>
            <w:pPr>
              <w:rPr>
                <w:rFonts w:hint="default" w:ascii="Times New Roman" w:hAnsi="Times New Roman" w:cs="Times New Roman"/>
                <w:sz w:val="20"/>
                <w:szCs w:val="20"/>
              </w:rPr>
            </w:pPr>
            <w:r>
              <w:rPr>
                <w:rFonts w:hint="default" w:ascii="Times New Roman" w:hAnsi="Times New Roman" w:cs="Times New Roman"/>
                <w:sz w:val="20"/>
                <w:szCs w:val="20"/>
              </w:rPr>
              <w:t>Стоимость Товара без НДС с учетом опциона +100%</w:t>
            </w:r>
          </w:p>
        </w:tc>
      </w:tr>
      <w:tr>
        <w:tblPrEx>
          <w:tblCellMar>
            <w:top w:w="0" w:type="dxa"/>
            <w:left w:w="108" w:type="dxa"/>
            <w:bottom w:w="0" w:type="dxa"/>
            <w:right w:w="108" w:type="dxa"/>
          </w:tblCellMar>
        </w:tblPrEx>
        <w:trPr>
          <w:cantSplit/>
          <w:trHeight w:val="1379" w:hRule="atLeast"/>
          <w:jc w:val="center"/>
        </w:trPr>
        <w:tc>
          <w:tcPr>
            <w:tcW w:w="210" w:type="pct"/>
            <w:vMerge w:val="continue"/>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cs="Times New Roman"/>
                <w:sz w:val="20"/>
                <w:szCs w:val="20"/>
              </w:rPr>
            </w:pPr>
          </w:p>
        </w:tc>
        <w:tc>
          <w:tcPr>
            <w:tcW w:w="288"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Код</w:t>
            </w:r>
          </w:p>
        </w:tc>
        <w:tc>
          <w:tcPr>
            <w:tcW w:w="804" w:type="pct"/>
            <w:tcBorders>
              <w:top w:val="single" w:color="auto" w:sz="4" w:space="0"/>
              <w:left w:val="single" w:color="auto" w:sz="4" w:space="0"/>
              <w:bottom w:val="single" w:color="auto" w:sz="4" w:space="0"/>
              <w:right w:val="single" w:color="auto" w:sz="4" w:space="0"/>
            </w:tcBorders>
            <w:noWrap w:val="0"/>
            <w:vAlign w:val="center"/>
          </w:tcPr>
          <w:p>
            <w:pPr>
              <w:ind w:left="71" w:firstLine="42"/>
              <w:jc w:val="center"/>
              <w:rPr>
                <w:rFonts w:hint="default" w:ascii="Times New Roman" w:hAnsi="Times New Roman" w:cs="Times New Roman"/>
                <w:sz w:val="20"/>
                <w:szCs w:val="20"/>
              </w:rPr>
            </w:pPr>
            <w:r>
              <w:rPr>
                <w:rFonts w:hint="default" w:ascii="Times New Roman" w:hAnsi="Times New Roman" w:cs="Times New Roman"/>
                <w:sz w:val="20"/>
                <w:szCs w:val="20"/>
              </w:rPr>
              <w:t xml:space="preserve">Наименование, страна происхождения Товара  </w:t>
            </w:r>
          </w:p>
        </w:tc>
        <w:tc>
          <w:tcPr>
            <w:tcW w:w="295"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rPr>
              <w:t>ЕИ</w:t>
            </w:r>
          </w:p>
        </w:tc>
        <w:tc>
          <w:tcPr>
            <w:tcW w:w="264" w:type="pct"/>
            <w:vMerge w:val="continue"/>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z w:val="20"/>
                <w:szCs w:val="20"/>
              </w:rPr>
            </w:pPr>
          </w:p>
        </w:tc>
        <w:tc>
          <w:tcPr>
            <w:tcW w:w="208" w:type="pct"/>
            <w:vMerge w:val="continue"/>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z w:val="20"/>
                <w:szCs w:val="20"/>
              </w:rPr>
            </w:pPr>
          </w:p>
        </w:tc>
        <w:tc>
          <w:tcPr>
            <w:tcW w:w="379" w:type="pct"/>
            <w:vMerge w:val="continue"/>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z w:val="20"/>
                <w:szCs w:val="20"/>
              </w:rPr>
            </w:pPr>
          </w:p>
        </w:tc>
        <w:tc>
          <w:tcPr>
            <w:tcW w:w="368" w:type="pct"/>
            <w:vMerge w:val="continue"/>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z w:val="20"/>
                <w:szCs w:val="20"/>
              </w:rPr>
            </w:pPr>
          </w:p>
        </w:tc>
        <w:tc>
          <w:tcPr>
            <w:tcW w:w="351" w:type="pct"/>
            <w:vMerge w:val="continue"/>
            <w:tcBorders>
              <w:left w:val="single" w:color="auto" w:sz="4" w:space="0"/>
              <w:bottom w:val="single" w:color="auto" w:sz="4" w:space="0"/>
              <w:right w:val="single" w:color="auto" w:sz="4" w:space="0"/>
            </w:tcBorders>
            <w:noWrap w:val="0"/>
            <w:textDirection w:val="btLr"/>
            <w:vAlign w:val="center"/>
          </w:tcPr>
          <w:p>
            <w:pPr>
              <w:rPr>
                <w:rFonts w:hint="default" w:ascii="Times New Roman" w:hAnsi="Times New Roman" w:cs="Times New Roman"/>
                <w:sz w:val="20"/>
                <w:szCs w:val="20"/>
              </w:rPr>
            </w:pPr>
          </w:p>
        </w:tc>
        <w:tc>
          <w:tcPr>
            <w:tcW w:w="410" w:type="pct"/>
            <w:vMerge w:val="continue"/>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z w:val="20"/>
                <w:szCs w:val="20"/>
              </w:rPr>
            </w:pPr>
          </w:p>
        </w:tc>
        <w:tc>
          <w:tcPr>
            <w:tcW w:w="438" w:type="pct"/>
            <w:vMerge w:val="continue"/>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z w:val="20"/>
                <w:szCs w:val="20"/>
              </w:rPr>
            </w:pPr>
          </w:p>
        </w:tc>
        <w:tc>
          <w:tcPr>
            <w:tcW w:w="230" w:type="pct"/>
            <w:vMerge w:val="continue"/>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z w:val="20"/>
                <w:szCs w:val="20"/>
              </w:rPr>
            </w:pPr>
          </w:p>
        </w:tc>
        <w:tc>
          <w:tcPr>
            <w:tcW w:w="372" w:type="pct"/>
            <w:vMerge w:val="continue"/>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z w:val="20"/>
                <w:szCs w:val="20"/>
              </w:rPr>
            </w:pPr>
          </w:p>
        </w:tc>
        <w:tc>
          <w:tcPr>
            <w:tcW w:w="376" w:type="pct"/>
            <w:vMerge w:val="continue"/>
            <w:tcBorders>
              <w:left w:val="single" w:color="auto" w:sz="4" w:space="0"/>
              <w:bottom w:val="single" w:color="auto" w:sz="4" w:space="0"/>
              <w:right w:val="single" w:color="auto" w:sz="4" w:space="0"/>
            </w:tcBorders>
            <w:noWrap w:val="0"/>
            <w:vAlign w:val="top"/>
          </w:tcPr>
          <w:p>
            <w:pPr>
              <w:rPr>
                <w:rFonts w:hint="default" w:ascii="Times New Roman" w:hAnsi="Times New Roman" w:cs="Times New Roman"/>
                <w:sz w:val="20"/>
                <w:szCs w:val="20"/>
              </w:rPr>
            </w:pPr>
          </w:p>
        </w:tc>
      </w:tr>
      <w:tr>
        <w:tblPrEx>
          <w:tblCellMar>
            <w:top w:w="0" w:type="dxa"/>
            <w:left w:w="108" w:type="dxa"/>
            <w:bottom w:w="0" w:type="dxa"/>
            <w:right w:w="108" w:type="dxa"/>
          </w:tblCellMar>
        </w:tblPrEx>
        <w:trPr>
          <w:trHeight w:val="255" w:hRule="atLeast"/>
          <w:jc w:val="center"/>
        </w:trPr>
        <w:tc>
          <w:tcPr>
            <w:tcW w:w="2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288" w:type="pct"/>
            <w:tcBorders>
              <w:top w:val="single" w:color="auto" w:sz="4" w:space="0"/>
              <w:left w:val="single" w:color="auto" w:sz="4" w:space="0"/>
              <w:bottom w:val="single" w:color="auto" w:sz="4" w:space="0"/>
              <w:right w:val="single" w:color="auto" w:sz="4" w:space="0"/>
            </w:tcBorders>
            <w:shd w:val="clear" w:color="auto" w:fill="auto"/>
            <w:noWrap/>
            <w:vAlign w:val="bottom"/>
          </w:tcPr>
          <w:p>
            <w:pPr>
              <w:rPr>
                <w:rFonts w:hint="default" w:ascii="Times New Roman" w:hAnsi="Times New Roman" w:cs="Times New Roman"/>
                <w:sz w:val="24"/>
                <w:szCs w:val="24"/>
              </w:rPr>
            </w:pPr>
          </w:p>
        </w:tc>
        <w:tc>
          <w:tcPr>
            <w:tcW w:w="804"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hint="default" w:ascii="Times New Roman" w:hAnsi="Times New Roman" w:cs="Times New Roman"/>
                <w:sz w:val="24"/>
                <w:szCs w:val="24"/>
              </w:rPr>
            </w:pPr>
          </w:p>
        </w:tc>
        <w:tc>
          <w:tcPr>
            <w:tcW w:w="295" w:type="pct"/>
            <w:tcBorders>
              <w:top w:val="single" w:color="auto" w:sz="4" w:space="0"/>
              <w:left w:val="single" w:color="auto" w:sz="4" w:space="0"/>
              <w:bottom w:val="single" w:color="auto" w:sz="4" w:space="0"/>
              <w:right w:val="single" w:color="auto" w:sz="4" w:space="0"/>
            </w:tcBorders>
            <w:noWrap/>
            <w:vAlign w:val="center"/>
          </w:tcPr>
          <w:p>
            <w:pPr>
              <w:jc w:val="center"/>
              <w:rPr>
                <w:rFonts w:hint="default" w:ascii="Times New Roman" w:hAnsi="Times New Roman" w:cs="Times New Roman"/>
                <w:sz w:val="24"/>
                <w:szCs w:val="24"/>
              </w:rPr>
            </w:pPr>
          </w:p>
        </w:tc>
        <w:tc>
          <w:tcPr>
            <w:tcW w:w="264" w:type="pct"/>
            <w:tcBorders>
              <w:top w:val="single" w:color="auto" w:sz="4" w:space="0"/>
              <w:left w:val="single" w:color="auto" w:sz="4" w:space="0"/>
              <w:bottom w:val="single" w:color="auto" w:sz="4" w:space="0"/>
              <w:right w:val="single" w:color="auto" w:sz="4" w:space="0"/>
            </w:tcBorders>
            <w:noWrap/>
            <w:vAlign w:val="top"/>
          </w:tcPr>
          <w:p>
            <w:pPr>
              <w:rPr>
                <w:rFonts w:hint="default" w:ascii="Times New Roman" w:hAnsi="Times New Roman" w:cs="Times New Roman"/>
                <w:sz w:val="24"/>
                <w:szCs w:val="24"/>
              </w:rPr>
            </w:pPr>
          </w:p>
        </w:tc>
        <w:tc>
          <w:tcPr>
            <w:tcW w:w="208" w:type="pct"/>
            <w:tcBorders>
              <w:top w:val="single" w:color="auto" w:sz="4" w:space="0"/>
              <w:left w:val="single" w:color="auto" w:sz="4" w:space="0"/>
              <w:bottom w:val="single" w:color="auto" w:sz="4" w:space="0"/>
              <w:right w:val="single" w:color="auto" w:sz="4" w:space="0"/>
            </w:tcBorders>
            <w:noWrap/>
            <w:vAlign w:val="top"/>
          </w:tcPr>
          <w:p>
            <w:pPr>
              <w:rPr>
                <w:rFonts w:hint="default" w:ascii="Times New Roman" w:hAnsi="Times New Roman" w:cs="Times New Roman"/>
                <w:sz w:val="24"/>
                <w:szCs w:val="24"/>
              </w:rPr>
            </w:pPr>
          </w:p>
        </w:tc>
        <w:tc>
          <w:tcPr>
            <w:tcW w:w="379" w:type="pct"/>
            <w:tcBorders>
              <w:top w:val="single" w:color="auto" w:sz="4" w:space="0"/>
              <w:left w:val="single" w:color="auto" w:sz="4" w:space="0"/>
              <w:bottom w:val="single" w:color="auto" w:sz="4" w:space="0"/>
              <w:right w:val="single" w:color="auto" w:sz="4" w:space="0"/>
            </w:tcBorders>
            <w:noWrap w:val="0"/>
            <w:vAlign w:val="top"/>
          </w:tcPr>
          <w:p>
            <w:pPr>
              <w:rPr>
                <w:rFonts w:hint="default" w:ascii="Times New Roman" w:hAnsi="Times New Roman" w:cs="Times New Roman"/>
                <w:sz w:val="24"/>
                <w:szCs w:val="24"/>
              </w:rPr>
            </w:pPr>
          </w:p>
        </w:tc>
        <w:tc>
          <w:tcPr>
            <w:tcW w:w="368" w:type="pct"/>
            <w:tcBorders>
              <w:top w:val="single" w:color="auto" w:sz="4" w:space="0"/>
              <w:left w:val="single" w:color="auto" w:sz="4" w:space="0"/>
              <w:bottom w:val="single" w:color="auto" w:sz="4" w:space="0"/>
              <w:right w:val="single" w:color="auto" w:sz="4" w:space="0"/>
            </w:tcBorders>
            <w:noWrap/>
            <w:vAlign w:val="center"/>
          </w:tcPr>
          <w:p>
            <w:pPr>
              <w:jc w:val="center"/>
              <w:rPr>
                <w:rFonts w:hint="default" w:ascii="Times New Roman" w:hAnsi="Times New Roman" w:cs="Times New Roman"/>
                <w:color w:val="000000"/>
                <w:sz w:val="24"/>
                <w:szCs w:val="24"/>
              </w:rPr>
            </w:pPr>
          </w:p>
        </w:tc>
        <w:tc>
          <w:tcPr>
            <w:tcW w:w="351" w:type="pct"/>
            <w:tcBorders>
              <w:top w:val="single" w:color="auto" w:sz="4" w:space="0"/>
              <w:left w:val="single" w:color="auto" w:sz="4" w:space="0"/>
              <w:bottom w:val="single" w:color="auto" w:sz="4" w:space="0"/>
              <w:right w:val="single" w:color="auto" w:sz="4" w:space="0"/>
            </w:tcBorders>
            <w:noWrap/>
            <w:vAlign w:val="center"/>
          </w:tcPr>
          <w:p>
            <w:pPr>
              <w:jc w:val="right"/>
              <w:rPr>
                <w:rFonts w:hint="default" w:ascii="Times New Roman" w:hAnsi="Times New Roman" w:cs="Times New Roman"/>
                <w:color w:val="000000"/>
                <w:sz w:val="24"/>
                <w:szCs w:val="24"/>
              </w:rPr>
            </w:pPr>
          </w:p>
        </w:tc>
        <w:tc>
          <w:tcPr>
            <w:tcW w:w="410"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 w:val="24"/>
                <w:szCs w:val="24"/>
              </w:rPr>
            </w:pPr>
          </w:p>
        </w:tc>
        <w:tc>
          <w:tcPr>
            <w:tcW w:w="438"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 w:val="24"/>
                <w:szCs w:val="24"/>
              </w:rPr>
            </w:pPr>
          </w:p>
        </w:tc>
        <w:tc>
          <w:tcPr>
            <w:tcW w:w="230"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4"/>
                <w:szCs w:val="24"/>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4"/>
                <w:szCs w:val="24"/>
              </w:rPr>
            </w:pPr>
          </w:p>
        </w:tc>
        <w:tc>
          <w:tcPr>
            <w:tcW w:w="376" w:type="pct"/>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Times New Roman" w:hAnsi="Times New Roman" w:cs="Times New Roman"/>
                <w:color w:val="000000"/>
                <w:sz w:val="24"/>
                <w:szCs w:val="24"/>
              </w:rPr>
            </w:pPr>
          </w:p>
        </w:tc>
      </w:tr>
      <w:tr>
        <w:tblPrEx>
          <w:tblCellMar>
            <w:top w:w="0" w:type="dxa"/>
            <w:left w:w="108" w:type="dxa"/>
            <w:bottom w:w="0" w:type="dxa"/>
            <w:right w:w="108" w:type="dxa"/>
          </w:tblCellMar>
        </w:tblPrEx>
        <w:trPr>
          <w:trHeight w:val="255" w:hRule="atLeast"/>
          <w:jc w:val="center"/>
        </w:trPr>
        <w:tc>
          <w:tcPr>
            <w:tcW w:w="210"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2</w:t>
            </w:r>
          </w:p>
        </w:tc>
        <w:tc>
          <w:tcPr>
            <w:tcW w:w="288" w:type="pct"/>
            <w:tcBorders>
              <w:top w:val="single" w:color="auto" w:sz="4" w:space="0"/>
              <w:left w:val="single" w:color="auto" w:sz="4" w:space="0"/>
              <w:bottom w:val="single" w:color="auto" w:sz="4" w:space="0"/>
              <w:right w:val="single" w:color="auto" w:sz="4" w:space="0"/>
            </w:tcBorders>
            <w:shd w:val="clear" w:color="auto" w:fill="auto"/>
            <w:noWrap/>
            <w:vAlign w:val="bottom"/>
          </w:tcPr>
          <w:p>
            <w:pPr>
              <w:rPr>
                <w:rFonts w:hint="default" w:ascii="Times New Roman" w:hAnsi="Times New Roman" w:cs="Times New Roman"/>
                <w:sz w:val="24"/>
                <w:szCs w:val="24"/>
              </w:rPr>
            </w:pPr>
          </w:p>
        </w:tc>
        <w:tc>
          <w:tcPr>
            <w:tcW w:w="804" w:type="pct"/>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hint="default" w:ascii="Times New Roman" w:hAnsi="Times New Roman" w:cs="Times New Roman"/>
                <w:sz w:val="24"/>
                <w:szCs w:val="24"/>
              </w:rPr>
            </w:pPr>
          </w:p>
        </w:tc>
        <w:tc>
          <w:tcPr>
            <w:tcW w:w="295" w:type="pct"/>
            <w:tcBorders>
              <w:top w:val="single" w:color="auto" w:sz="4" w:space="0"/>
              <w:left w:val="single" w:color="auto" w:sz="4" w:space="0"/>
              <w:bottom w:val="single" w:color="auto" w:sz="4" w:space="0"/>
              <w:right w:val="single" w:color="auto" w:sz="4" w:space="0"/>
            </w:tcBorders>
            <w:noWrap/>
            <w:vAlign w:val="center"/>
          </w:tcPr>
          <w:p>
            <w:pPr>
              <w:jc w:val="center"/>
              <w:rPr>
                <w:rFonts w:hint="default" w:ascii="Times New Roman" w:hAnsi="Times New Roman" w:cs="Times New Roman"/>
                <w:sz w:val="24"/>
                <w:szCs w:val="24"/>
              </w:rPr>
            </w:pPr>
          </w:p>
        </w:tc>
        <w:tc>
          <w:tcPr>
            <w:tcW w:w="264" w:type="pct"/>
            <w:tcBorders>
              <w:top w:val="single" w:color="auto" w:sz="4" w:space="0"/>
              <w:left w:val="single" w:color="auto" w:sz="4" w:space="0"/>
              <w:bottom w:val="single" w:color="auto" w:sz="4" w:space="0"/>
              <w:right w:val="single" w:color="auto" w:sz="4" w:space="0"/>
            </w:tcBorders>
            <w:noWrap/>
            <w:vAlign w:val="top"/>
          </w:tcPr>
          <w:p>
            <w:pPr>
              <w:rPr>
                <w:rFonts w:hint="default" w:ascii="Times New Roman" w:hAnsi="Times New Roman" w:cs="Times New Roman"/>
                <w:sz w:val="24"/>
                <w:szCs w:val="24"/>
              </w:rPr>
            </w:pPr>
          </w:p>
        </w:tc>
        <w:tc>
          <w:tcPr>
            <w:tcW w:w="208" w:type="pct"/>
            <w:tcBorders>
              <w:top w:val="single" w:color="auto" w:sz="4" w:space="0"/>
              <w:left w:val="single" w:color="auto" w:sz="4" w:space="0"/>
              <w:bottom w:val="single" w:color="auto" w:sz="4" w:space="0"/>
              <w:right w:val="single" w:color="auto" w:sz="4" w:space="0"/>
            </w:tcBorders>
            <w:noWrap/>
            <w:vAlign w:val="top"/>
          </w:tcPr>
          <w:p>
            <w:pPr>
              <w:rPr>
                <w:rFonts w:hint="default" w:ascii="Times New Roman" w:hAnsi="Times New Roman" w:cs="Times New Roman"/>
                <w:sz w:val="24"/>
                <w:szCs w:val="24"/>
              </w:rPr>
            </w:pPr>
          </w:p>
        </w:tc>
        <w:tc>
          <w:tcPr>
            <w:tcW w:w="379" w:type="pct"/>
            <w:tcBorders>
              <w:top w:val="single" w:color="auto" w:sz="4" w:space="0"/>
              <w:left w:val="single" w:color="auto" w:sz="4" w:space="0"/>
              <w:bottom w:val="single" w:color="auto" w:sz="4" w:space="0"/>
              <w:right w:val="single" w:color="auto" w:sz="4" w:space="0"/>
            </w:tcBorders>
            <w:noWrap w:val="0"/>
            <w:vAlign w:val="top"/>
          </w:tcPr>
          <w:p>
            <w:pPr>
              <w:rPr>
                <w:rFonts w:hint="default" w:ascii="Times New Roman" w:hAnsi="Times New Roman" w:cs="Times New Roman"/>
                <w:sz w:val="24"/>
                <w:szCs w:val="24"/>
              </w:rPr>
            </w:pPr>
          </w:p>
        </w:tc>
        <w:tc>
          <w:tcPr>
            <w:tcW w:w="368" w:type="pct"/>
            <w:tcBorders>
              <w:top w:val="single" w:color="auto" w:sz="4" w:space="0"/>
              <w:left w:val="single" w:color="auto" w:sz="4" w:space="0"/>
              <w:bottom w:val="single" w:color="auto" w:sz="4" w:space="0"/>
              <w:right w:val="single" w:color="auto" w:sz="4" w:space="0"/>
            </w:tcBorders>
            <w:noWrap/>
            <w:vAlign w:val="center"/>
          </w:tcPr>
          <w:p>
            <w:pPr>
              <w:jc w:val="center"/>
              <w:rPr>
                <w:rFonts w:hint="default" w:ascii="Times New Roman" w:hAnsi="Times New Roman" w:cs="Times New Roman"/>
                <w:color w:val="000000"/>
                <w:sz w:val="24"/>
                <w:szCs w:val="24"/>
              </w:rPr>
            </w:pPr>
          </w:p>
        </w:tc>
        <w:tc>
          <w:tcPr>
            <w:tcW w:w="351" w:type="pct"/>
            <w:tcBorders>
              <w:top w:val="single" w:color="auto" w:sz="4" w:space="0"/>
              <w:left w:val="single" w:color="auto" w:sz="4" w:space="0"/>
              <w:bottom w:val="single" w:color="auto" w:sz="4" w:space="0"/>
              <w:right w:val="single" w:color="auto" w:sz="4" w:space="0"/>
            </w:tcBorders>
            <w:noWrap/>
            <w:vAlign w:val="center"/>
          </w:tcPr>
          <w:p>
            <w:pPr>
              <w:jc w:val="right"/>
              <w:rPr>
                <w:rFonts w:hint="default" w:ascii="Times New Roman" w:hAnsi="Times New Roman" w:cs="Times New Roman"/>
                <w:color w:val="000000"/>
                <w:sz w:val="24"/>
                <w:szCs w:val="24"/>
              </w:rPr>
            </w:pPr>
          </w:p>
        </w:tc>
        <w:tc>
          <w:tcPr>
            <w:tcW w:w="410"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 w:val="24"/>
                <w:szCs w:val="24"/>
              </w:rPr>
            </w:pPr>
          </w:p>
        </w:tc>
        <w:tc>
          <w:tcPr>
            <w:tcW w:w="438"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 w:val="24"/>
                <w:szCs w:val="24"/>
              </w:rPr>
            </w:pPr>
          </w:p>
        </w:tc>
        <w:tc>
          <w:tcPr>
            <w:tcW w:w="230"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4"/>
                <w:szCs w:val="24"/>
              </w:rPr>
            </w:pPr>
          </w:p>
        </w:tc>
        <w:tc>
          <w:tcPr>
            <w:tcW w:w="372"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000000"/>
                <w:sz w:val="24"/>
                <w:szCs w:val="24"/>
              </w:rPr>
            </w:pPr>
          </w:p>
        </w:tc>
        <w:tc>
          <w:tcPr>
            <w:tcW w:w="376" w:type="pct"/>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Times New Roman" w:hAnsi="Times New Roman" w:cs="Times New Roman"/>
                <w:color w:val="000000"/>
                <w:sz w:val="24"/>
                <w:szCs w:val="24"/>
              </w:rPr>
            </w:pPr>
          </w:p>
        </w:tc>
      </w:tr>
      <w:tr>
        <w:tblPrEx>
          <w:tblCellMar>
            <w:top w:w="0" w:type="dxa"/>
            <w:left w:w="108" w:type="dxa"/>
            <w:bottom w:w="0" w:type="dxa"/>
            <w:right w:w="108" w:type="dxa"/>
          </w:tblCellMar>
        </w:tblPrEx>
        <w:trPr>
          <w:wAfter w:w="0" w:type="auto"/>
          <w:trHeight w:val="176" w:hRule="atLeast"/>
          <w:jc w:val="center"/>
        </w:trPr>
        <w:tc>
          <w:tcPr>
            <w:tcW w:w="499" w:type="pct"/>
            <w:gridSpan w:val="2"/>
            <w:tcBorders>
              <w:top w:val="single" w:color="auto" w:sz="4" w:space="0"/>
              <w:left w:val="single" w:color="auto" w:sz="4" w:space="0"/>
              <w:bottom w:val="single" w:color="auto" w:sz="4" w:space="0"/>
              <w:right w:val="single" w:color="auto" w:sz="4" w:space="0"/>
            </w:tcBorders>
            <w:noWrap w:val="0"/>
            <w:vAlign w:val="top"/>
          </w:tcPr>
          <w:p>
            <w:pPr>
              <w:rPr>
                <w:rFonts w:hint="default" w:ascii="Times New Roman" w:hAnsi="Times New Roman" w:cs="Times New Roman"/>
                <w:b/>
                <w:bCs/>
                <w:sz w:val="24"/>
                <w:szCs w:val="24"/>
              </w:rPr>
            </w:pPr>
            <w:r>
              <w:rPr>
                <w:rFonts w:hint="default" w:ascii="Times New Roman" w:hAnsi="Times New Roman" w:cs="Times New Roman"/>
                <w:b/>
                <w:bCs/>
                <w:sz w:val="24"/>
                <w:szCs w:val="24"/>
              </w:rPr>
              <w:t>Итого:</w:t>
            </w:r>
          </w:p>
        </w:tc>
        <w:tc>
          <w:tcPr>
            <w:tcW w:w="1952" w:type="pct"/>
            <w:gridSpan w:val="5"/>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Times New Roman" w:hAnsi="Times New Roman" w:cs="Times New Roman"/>
                <w:sz w:val="24"/>
                <w:szCs w:val="24"/>
              </w:rPr>
            </w:pPr>
            <w:r>
              <w:rPr>
                <w:rFonts w:hint="default" w:ascii="Times New Roman" w:hAnsi="Times New Roman" w:cs="Times New Roman"/>
                <w:sz w:val="24"/>
                <w:szCs w:val="24"/>
              </w:rPr>
              <w:t> </w:t>
            </w:r>
          </w:p>
        </w:tc>
        <w:tc>
          <w:tcPr>
            <w:tcW w:w="368"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 w:val="24"/>
                <w:szCs w:val="24"/>
              </w:rPr>
            </w:pPr>
          </w:p>
        </w:tc>
        <w:tc>
          <w:tcPr>
            <w:tcW w:w="351"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 w:val="24"/>
                <w:szCs w:val="24"/>
              </w:rPr>
            </w:pPr>
          </w:p>
        </w:tc>
        <w:tc>
          <w:tcPr>
            <w:tcW w:w="1452" w:type="pct"/>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b/>
                <w:sz w:val="24"/>
                <w:szCs w:val="24"/>
              </w:rPr>
            </w:pPr>
          </w:p>
        </w:tc>
        <w:tc>
          <w:tcPr>
            <w:tcW w:w="376" w:type="pct"/>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Times New Roman" w:hAnsi="Times New Roman" w:cs="Times New Roman"/>
                <w:b/>
                <w:sz w:val="24"/>
                <w:szCs w:val="24"/>
              </w:rPr>
            </w:pPr>
          </w:p>
        </w:tc>
      </w:tr>
    </w:tbl>
    <w:p>
      <w:pPr>
        <w:rPr>
          <w:rFonts w:hint="default" w:ascii="Times New Roman" w:hAnsi="Times New Roman" w:cs="Times New Roman"/>
          <w:sz w:val="24"/>
          <w:szCs w:val="24"/>
        </w:rPr>
      </w:pPr>
      <w:bookmarkStart w:id="4" w:name="RANGE!A1:S33"/>
      <w:bookmarkEnd w:id="4"/>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
        <w:gridCol w:w="3297"/>
        <w:gridCol w:w="1538"/>
        <w:gridCol w:w="1644"/>
        <w:gridCol w:w="449"/>
        <w:gridCol w:w="6648"/>
        <w:gridCol w:w="488"/>
        <w:gridCol w:w="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40" w:type="dxa"/>
            <w:gridSpan w:val="2"/>
            <w:noWrap w:val="0"/>
            <w:vAlign w:val="top"/>
          </w:tcPr>
          <w:p>
            <w:pPr>
              <w:rPr>
                <w:sz w:val="18"/>
                <w:szCs w:val="18"/>
              </w:rPr>
            </w:pPr>
            <w:r>
              <w:rPr>
                <w:rFonts w:hint="default" w:ascii="Times New Roman" w:hAnsi="Times New Roman" w:cs="Times New Roman"/>
                <w:b/>
                <w:bCs/>
                <w:sz w:val="24"/>
                <w:szCs w:val="24"/>
              </w:rPr>
              <w:t>1. Сроки поставки</w:t>
            </w:r>
          </w:p>
        </w:tc>
        <w:tc>
          <w:tcPr>
            <w:tcW w:w="11146" w:type="dxa"/>
            <w:gridSpan w:val="6"/>
            <w:noWrap w:val="0"/>
            <w:vAlign w:val="top"/>
          </w:tcPr>
          <w:p>
            <w:pPr>
              <w:rPr>
                <w:sz w:val="18"/>
                <w:szCs w:val="18"/>
              </w:rPr>
            </w:pPr>
            <w:r>
              <w:rPr>
                <w:rFonts w:hint="default" w:ascii="Times New Roman" w:hAnsi="Times New Roman" w:cs="Times New Roman"/>
                <w:sz w:val="24"/>
                <w:szCs w:val="24"/>
              </w:rPr>
              <w:t xml:space="preserve">Согласно графику поставки Товара. Изменения графика поставки могут согласовываться Сторонами дополнительно за 20 дней до начала месяца поставки.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640" w:type="dxa"/>
            <w:gridSpan w:val="2"/>
            <w:noWrap w:val="0"/>
            <w:vAlign w:val="top"/>
          </w:tcPr>
          <w:p>
            <w:pPr>
              <w:rPr>
                <w:sz w:val="18"/>
                <w:szCs w:val="18"/>
              </w:rPr>
            </w:pPr>
            <w:r>
              <w:rPr>
                <w:rFonts w:hint="default" w:ascii="Times New Roman" w:hAnsi="Times New Roman" w:cs="Times New Roman"/>
                <w:b/>
                <w:bCs/>
                <w:sz w:val="24"/>
                <w:szCs w:val="24"/>
              </w:rPr>
              <w:t>2. Условия о транспортных и прочих расходах</w:t>
            </w:r>
          </w:p>
        </w:tc>
        <w:tc>
          <w:tcPr>
            <w:tcW w:w="11146" w:type="dxa"/>
            <w:gridSpan w:val="6"/>
            <w:noWrap w:val="0"/>
            <w:vAlign w:val="top"/>
          </w:tcPr>
          <w:p>
            <w:pPr>
              <w:rPr>
                <w:sz w:val="18"/>
                <w:szCs w:val="18"/>
              </w:rPr>
            </w:pPr>
            <w:r>
              <w:rPr>
                <w:rFonts w:hint="default" w:ascii="Times New Roman" w:hAnsi="Times New Roman" w:cs="Times New Roman"/>
                <w:sz w:val="24"/>
                <w:szCs w:val="24"/>
              </w:rPr>
              <w:t>Расходы по перевозке, а также прочие расходы включены в цену Товара и возмещению не подлежат.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640" w:type="dxa"/>
            <w:gridSpan w:val="2"/>
            <w:noWrap w:val="0"/>
            <w:vAlign w:val="top"/>
          </w:tcPr>
          <w:p>
            <w:pPr>
              <w:rPr>
                <w:sz w:val="18"/>
                <w:szCs w:val="18"/>
              </w:rPr>
            </w:pPr>
            <w:r>
              <w:rPr>
                <w:rFonts w:hint="default" w:ascii="Times New Roman" w:hAnsi="Times New Roman" w:cs="Times New Roman"/>
                <w:b/>
                <w:bCs/>
                <w:sz w:val="24"/>
                <w:szCs w:val="24"/>
              </w:rPr>
              <w:t>3. Транспортировка Товара</w:t>
            </w:r>
          </w:p>
        </w:tc>
        <w:tc>
          <w:tcPr>
            <w:tcW w:w="11146" w:type="dxa"/>
            <w:gridSpan w:val="6"/>
            <w:noWrap w:val="0"/>
            <w:vAlign w:val="top"/>
          </w:tcPr>
          <w:p>
            <w:pPr>
              <w:rPr>
                <w:sz w:val="18"/>
                <w:szCs w:val="18"/>
              </w:rPr>
            </w:pPr>
            <w:r>
              <w:rPr>
                <w:rFonts w:hint="default" w:ascii="Times New Roman" w:hAnsi="Times New Roman" w:cs="Times New Roman"/>
                <w:sz w:val="24"/>
                <w:szCs w:val="24"/>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3640" w:type="dxa"/>
            <w:gridSpan w:val="2"/>
            <w:noWrap w:val="0"/>
            <w:vAlign w:val="top"/>
          </w:tcPr>
          <w:p>
            <w:pPr>
              <w:rPr>
                <w:sz w:val="18"/>
                <w:szCs w:val="18"/>
              </w:rPr>
            </w:pPr>
            <w:r>
              <w:rPr>
                <w:rFonts w:hint="default" w:ascii="Times New Roman" w:hAnsi="Times New Roman" w:cs="Times New Roman"/>
                <w:b/>
                <w:bCs/>
                <w:sz w:val="24"/>
                <w:szCs w:val="24"/>
              </w:rPr>
              <w:t>4. Документация</w:t>
            </w:r>
          </w:p>
        </w:tc>
        <w:tc>
          <w:tcPr>
            <w:tcW w:w="11146" w:type="dxa"/>
            <w:gridSpan w:val="6"/>
            <w:noWrap w:val="0"/>
            <w:vAlign w:val="top"/>
          </w:tcPr>
          <w:p>
            <w:pPr>
              <w:rPr>
                <w:sz w:val="18"/>
                <w:szCs w:val="18"/>
              </w:rPr>
            </w:pPr>
            <w:r>
              <w:rPr>
                <w:rFonts w:hint="default" w:ascii="Times New Roman" w:hAnsi="Times New Roman" w:cs="Times New Roman"/>
                <w:sz w:val="24"/>
                <w:szCs w:val="24"/>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Pr>
                <w:rFonts w:hint="default" w:ascii="Times New Roman" w:hAnsi="Times New Roman" w:cs="Times New Roman"/>
                <w:sz w:val="24"/>
                <w:szCs w:val="24"/>
              </w:rPr>
              <w:br w:type="textWrapping"/>
            </w:r>
            <w:r>
              <w:rPr>
                <w:rFonts w:hint="default" w:ascii="Times New Roman" w:hAnsi="Times New Roman" w:cs="Times New Roman"/>
                <w:sz w:val="24"/>
                <w:szCs w:val="24"/>
              </w:rP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3640" w:type="dxa"/>
            <w:gridSpan w:val="2"/>
            <w:noWrap w:val="0"/>
            <w:vAlign w:val="top"/>
          </w:tcPr>
          <w:p>
            <w:pPr>
              <w:rPr>
                <w:sz w:val="18"/>
                <w:szCs w:val="18"/>
                <w:highlight w:val="yellow"/>
              </w:rPr>
            </w:pPr>
            <w:r>
              <w:rPr>
                <w:rFonts w:hint="default" w:ascii="Times New Roman" w:hAnsi="Times New Roman" w:cs="Times New Roman"/>
                <w:b/>
                <w:bCs/>
                <w:sz w:val="24"/>
                <w:szCs w:val="24"/>
              </w:rPr>
              <w:t>5. Опцион Покупателя</w:t>
            </w:r>
          </w:p>
        </w:tc>
        <w:tc>
          <w:tcPr>
            <w:tcW w:w="11146" w:type="dxa"/>
            <w:gridSpan w:val="6"/>
            <w:noWrap w:val="0"/>
            <w:vAlign w:val="center"/>
          </w:tcPr>
          <w:p>
            <w:pPr>
              <w:autoSpaceDE w:val="0"/>
              <w:autoSpaceDN w:val="0"/>
              <w:adjustRightInd w:val="0"/>
              <w:rPr>
                <w:rFonts w:hint="default" w:ascii="Times New Roman" w:hAnsi="Times New Roman" w:cs="Times New Roman"/>
                <w:sz w:val="24"/>
                <w:szCs w:val="24"/>
              </w:rPr>
            </w:pPr>
            <w:r>
              <w:rPr>
                <w:rFonts w:hint="default" w:ascii="Times New Roman" w:hAnsi="Times New Roman" w:cs="Times New Roman"/>
                <w:sz w:val="24"/>
                <w:szCs w:val="24"/>
              </w:rPr>
              <w:t>Покупатель имеет право изменить общее количество поставляемого по Договору Товара в денежном выражении в пределах согласованного опциона.</w:t>
            </w:r>
          </w:p>
          <w:p>
            <w:pPr>
              <w:tabs>
                <w:tab w:val="left" w:pos="-720"/>
                <w:tab w:val="left" w:pos="0"/>
                <w:tab w:val="left" w:pos="720"/>
                <w:tab w:val="left" w:pos="1440"/>
                <w:tab w:val="left" w:pos="2160"/>
                <w:tab w:val="left" w:pos="2880"/>
                <w:tab w:val="left" w:pos="3600"/>
                <w:tab w:val="left" w:pos="4320"/>
              </w:tabs>
              <w:autoSpaceDE w:val="0"/>
              <w:autoSpaceDN w:val="0"/>
              <w:adjustRightInd w:val="0"/>
              <w:rPr>
                <w:rFonts w:hint="default" w:ascii="Times New Roman" w:hAnsi="Times New Roman" w:cs="Times New Roman"/>
                <w:sz w:val="24"/>
                <w:szCs w:val="24"/>
              </w:rPr>
            </w:pPr>
            <w:r>
              <w:rPr>
                <w:rFonts w:hint="default" w:ascii="Times New Roman" w:hAnsi="Times New Roman" w:cs="Times New Roman"/>
                <w:sz w:val="24"/>
                <w:szCs w:val="24"/>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pPr>
              <w:tabs>
                <w:tab w:val="left" w:pos="-720"/>
                <w:tab w:val="left" w:pos="0"/>
                <w:tab w:val="left" w:pos="720"/>
                <w:tab w:val="left" w:pos="1440"/>
                <w:tab w:val="left" w:pos="2160"/>
                <w:tab w:val="left" w:pos="2880"/>
                <w:tab w:val="left" w:pos="3600"/>
                <w:tab w:val="left" w:pos="4320"/>
              </w:tabs>
              <w:autoSpaceDE w:val="0"/>
              <w:autoSpaceDN w:val="0"/>
              <w:adjustRightInd w:val="0"/>
              <w:rPr>
                <w:rFonts w:hint="default" w:ascii="Times New Roman" w:hAnsi="Times New Roman" w:cs="Times New Roman"/>
                <w:sz w:val="24"/>
                <w:szCs w:val="24"/>
              </w:rPr>
            </w:pPr>
            <w:r>
              <w:rPr>
                <w:rFonts w:hint="default" w:ascii="Times New Roman" w:hAnsi="Times New Roman" w:cs="Times New Roman"/>
                <w:sz w:val="24"/>
                <w:szCs w:val="24"/>
              </w:rPr>
              <w:t>Опцион Покупателя в стоимостном выражении в сторону уменьшения может составлять до 100 % от цены Договора.</w:t>
            </w:r>
          </w:p>
          <w:p>
            <w:pPr>
              <w:tabs>
                <w:tab w:val="left" w:pos="-720"/>
                <w:tab w:val="left" w:pos="0"/>
                <w:tab w:val="left" w:pos="720"/>
                <w:tab w:val="left" w:pos="1440"/>
                <w:tab w:val="left" w:pos="2160"/>
                <w:tab w:val="left" w:pos="2880"/>
                <w:tab w:val="left" w:pos="3600"/>
                <w:tab w:val="left" w:pos="4320"/>
              </w:tabs>
              <w:autoSpaceDE w:val="0"/>
              <w:autoSpaceDN w:val="0"/>
              <w:adjustRightInd w:val="0"/>
              <w:rPr>
                <w:rFonts w:hint="default" w:ascii="Times New Roman" w:hAnsi="Times New Roman" w:cs="Times New Roman"/>
                <w:sz w:val="24"/>
                <w:szCs w:val="24"/>
              </w:rPr>
            </w:pPr>
            <w:r>
              <w:rPr>
                <w:rFonts w:hint="default" w:ascii="Times New Roman" w:hAnsi="Times New Roman" w:cs="Times New Roman"/>
                <w:sz w:val="24"/>
                <w:szCs w:val="24"/>
              </w:rPr>
              <w:t>Опцион Покупателя в стоимостном выражении в сторону увеличения может составлять до 50 % от цены Договора.</w:t>
            </w:r>
          </w:p>
          <w:p>
            <w:pPr>
              <w:tabs>
                <w:tab w:val="left" w:pos="-720"/>
                <w:tab w:val="left" w:pos="0"/>
                <w:tab w:val="left" w:pos="720"/>
                <w:tab w:val="left" w:pos="1440"/>
                <w:tab w:val="left" w:pos="2160"/>
                <w:tab w:val="left" w:pos="2880"/>
                <w:tab w:val="left" w:pos="3600"/>
                <w:tab w:val="left" w:pos="4320"/>
              </w:tabs>
              <w:autoSpaceDE w:val="0"/>
              <w:autoSpaceDN w:val="0"/>
              <w:adjustRightInd w:val="0"/>
              <w:rPr>
                <w:rFonts w:hint="default" w:ascii="Times New Roman" w:hAnsi="Times New Roman" w:cs="Times New Roman"/>
                <w:sz w:val="24"/>
                <w:szCs w:val="24"/>
              </w:rPr>
            </w:pPr>
            <w:r>
              <w:rPr>
                <w:rFonts w:hint="default" w:ascii="Times New Roman" w:hAnsi="Times New Roman" w:cs="Times New Roman"/>
                <w:sz w:val="24"/>
                <w:szCs w:val="24"/>
              </w:rPr>
              <w: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Срок действия оферт заканчивается одновременно со сроком действия Договора.</w:t>
            </w:r>
          </w:p>
          <w:p>
            <w:pPr>
              <w:tabs>
                <w:tab w:val="left" w:pos="-720"/>
                <w:tab w:val="left" w:pos="0"/>
                <w:tab w:val="left" w:pos="720"/>
                <w:tab w:val="left" w:pos="1440"/>
                <w:tab w:val="left" w:pos="2160"/>
                <w:tab w:val="left" w:pos="2880"/>
                <w:tab w:val="left" w:pos="3600"/>
                <w:tab w:val="left" w:pos="4320"/>
              </w:tabs>
              <w:autoSpaceDE w:val="0"/>
              <w:autoSpaceDN w:val="0"/>
              <w:adjustRightInd w:val="0"/>
              <w:rPr>
                <w:rFonts w:hint="default" w:ascii="Times New Roman" w:hAnsi="Times New Roman" w:cs="Times New Roman"/>
                <w:sz w:val="24"/>
                <w:szCs w:val="24"/>
              </w:rPr>
            </w:pPr>
            <w:r>
              <w:rPr>
                <w:rFonts w:hint="default" w:ascii="Times New Roman" w:hAnsi="Times New Roman" w:cs="Times New Roman"/>
                <w:sz w:val="24"/>
                <w:szCs w:val="24"/>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pPr>
              <w:tabs>
                <w:tab w:val="left" w:pos="-720"/>
                <w:tab w:val="left" w:pos="0"/>
                <w:tab w:val="left" w:pos="720"/>
                <w:tab w:val="left" w:pos="1440"/>
                <w:tab w:val="left" w:pos="2160"/>
                <w:tab w:val="left" w:pos="2880"/>
                <w:tab w:val="left" w:pos="3600"/>
                <w:tab w:val="left" w:pos="4320"/>
              </w:tabs>
              <w:autoSpaceDE w:val="0"/>
              <w:autoSpaceDN w:val="0"/>
              <w:adjustRightInd w:val="0"/>
              <w:rPr>
                <w:sz w:val="18"/>
                <w:szCs w:val="18"/>
                <w:highlight w:val="yellow"/>
              </w:rPr>
            </w:pPr>
            <w:r>
              <w:rPr>
                <w:rFonts w:hint="default" w:ascii="Times New Roman" w:hAnsi="Times New Roman" w:cs="Times New Roman"/>
                <w:sz w:val="24"/>
                <w:szCs w:val="24"/>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3640" w:type="dxa"/>
            <w:gridSpan w:val="2"/>
            <w:noWrap w:val="0"/>
            <w:vAlign w:val="top"/>
          </w:tcPr>
          <w:p>
            <w:pPr>
              <w:rPr>
                <w:sz w:val="18"/>
                <w:szCs w:val="18"/>
              </w:rPr>
            </w:pPr>
            <w:r>
              <w:rPr>
                <w:rFonts w:hint="default" w:ascii="Times New Roman" w:hAnsi="Times New Roman" w:cs="Times New Roman"/>
                <w:b/>
                <w:bCs/>
                <w:sz w:val="24"/>
                <w:szCs w:val="24"/>
              </w:rPr>
              <w:t>6. Упаковка и маркировка</w:t>
            </w:r>
          </w:p>
        </w:tc>
        <w:tc>
          <w:tcPr>
            <w:tcW w:w="11146" w:type="dxa"/>
            <w:gridSpan w:val="6"/>
            <w:noWrap w:val="0"/>
            <w:vAlign w:val="center"/>
          </w:tcPr>
          <w:p>
            <w:pPr>
              <w:rPr>
                <w:sz w:val="18"/>
                <w:szCs w:val="18"/>
              </w:rPr>
            </w:pPr>
            <w:r>
              <w:rPr>
                <w:rFonts w:hint="default" w:ascii="Times New Roman" w:hAnsi="Times New Roman" w:cs="Times New Roman"/>
                <w:sz w:val="24"/>
                <w:szCs w:val="24"/>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Pr>
                <w:rFonts w:hint="default" w:ascii="Times New Roman" w:hAnsi="Times New Roman" w:cs="Times New Roman"/>
                <w:sz w:val="24"/>
                <w:szCs w:val="24"/>
              </w:rPr>
              <w:br w:type="textWrapping"/>
            </w:r>
            <w:r>
              <w:rPr>
                <w:rFonts w:hint="default" w:ascii="Times New Roman" w:hAnsi="Times New Roman" w:cs="Times New Roman"/>
                <w:sz w:val="24"/>
                <w:szCs w:val="24"/>
              </w:rPr>
              <w:t>Поставщик несет ответственность перед Покупателем за повреждение или порчу груза вследствие ненадлежащей упаковки.</w:t>
            </w:r>
            <w:r>
              <w:rPr>
                <w:rFonts w:hint="default" w:ascii="Times New Roman" w:hAnsi="Times New Roman" w:cs="Times New Roman"/>
                <w:sz w:val="24"/>
                <w:szCs w:val="24"/>
              </w:rPr>
              <w:br w:type="textWrapping"/>
            </w:r>
            <w:r>
              <w:rPr>
                <w:rFonts w:hint="default" w:ascii="Times New Roman" w:hAnsi="Times New Roman" w:cs="Times New Roman"/>
                <w:sz w:val="24"/>
                <w:szCs w:val="24"/>
              </w:rPr>
              <w:t>Маркировка должна содержать следующие обозначения: Покупатель, № Договора, № места, Количество мест, Вес брутто, Вес нетто, Грузополучатель, Заказчик.</w:t>
            </w:r>
            <w:r>
              <w:rPr>
                <w:rFonts w:hint="default" w:ascii="Times New Roman" w:hAnsi="Times New Roman" w:cs="Times New Roman"/>
                <w:sz w:val="24"/>
                <w:szCs w:val="24"/>
              </w:rPr>
              <w:br w:type="textWrapping"/>
            </w:r>
            <w:r>
              <w:rPr>
                <w:rFonts w:hint="default" w:ascii="Times New Roman" w:hAnsi="Times New Roman" w:cs="Times New Roman"/>
                <w:sz w:val="24"/>
                <w:szCs w:val="24"/>
              </w:rPr>
              <w:t>Места требующие специального обращения должны иметь дополнительную маркировку: "Осторожно", "Верх", "Не кантовать"</w:t>
            </w:r>
            <w:r>
              <w:rPr>
                <w:rFonts w:hint="default" w:ascii="Times New Roman" w:hAnsi="Times New Roman" w:cs="Times New Roman"/>
                <w:sz w:val="24"/>
                <w:szCs w:val="24"/>
              </w:rPr>
              <w:br w:type="textWrapping"/>
            </w:r>
            <w:r>
              <w:rPr>
                <w:rFonts w:hint="default" w:ascii="Times New Roman" w:hAnsi="Times New Roman" w:cs="Times New Roman"/>
                <w:sz w:val="24"/>
                <w:szCs w:val="24"/>
              </w:rPr>
              <w:t>Поставщик обязан на каждое место составить подробный упаковочный лист.</w:t>
            </w:r>
            <w:r>
              <w:rPr>
                <w:rFonts w:hint="default" w:ascii="Times New Roman" w:hAnsi="Times New Roman" w:cs="Times New Roman"/>
                <w:sz w:val="24"/>
                <w:szCs w:val="24"/>
              </w:rPr>
              <w:br w:type="textWrapping"/>
            </w:r>
            <w:r>
              <w:rPr>
                <w:rFonts w:hint="default" w:ascii="Times New Roman" w:hAnsi="Times New Roman" w:cs="Times New Roman"/>
                <w:sz w:val="24"/>
                <w:szCs w:val="24"/>
              </w:rP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3640" w:type="dxa"/>
            <w:gridSpan w:val="2"/>
            <w:noWrap w:val="0"/>
            <w:vAlign w:val="top"/>
          </w:tcPr>
          <w:p>
            <w:pPr>
              <w:rPr>
                <w:sz w:val="18"/>
                <w:szCs w:val="18"/>
              </w:rPr>
            </w:pPr>
            <w:r>
              <w:rPr>
                <w:rFonts w:hint="default" w:ascii="Times New Roman" w:hAnsi="Times New Roman" w:cs="Times New Roman"/>
                <w:b/>
                <w:bCs/>
                <w:sz w:val="24"/>
                <w:szCs w:val="24"/>
              </w:rPr>
              <w:t>7. Доп. требования к качеству</w:t>
            </w:r>
          </w:p>
        </w:tc>
        <w:tc>
          <w:tcPr>
            <w:tcW w:w="11146" w:type="dxa"/>
            <w:gridSpan w:val="6"/>
            <w:noWrap w:val="0"/>
            <w:vAlign w:val="top"/>
          </w:tcPr>
          <w:p>
            <w:pPr>
              <w:pStyle w:val="39"/>
              <w:shd w:val="clear" w:color="auto" w:fill="auto"/>
              <w:spacing w:line="240" w:lineRule="auto"/>
              <w:contextualSpacing/>
              <w:jc w:val="both"/>
              <w:outlineLvl w:val="0"/>
              <w:rPr>
                <w:rFonts w:hint="default" w:ascii="Times New Roman" w:hAnsi="Times New Roman" w:cs="Times New Roman"/>
                <w:sz w:val="24"/>
                <w:szCs w:val="24"/>
                <w:lang w:val="ru-RU" w:eastAsia="ru-RU"/>
              </w:rPr>
            </w:pPr>
            <w:r>
              <w:rPr>
                <w:rFonts w:hint="default" w:ascii="Times New Roman" w:hAnsi="Times New Roman" w:cs="Times New Roman"/>
                <w:sz w:val="24"/>
                <w:szCs w:val="24"/>
                <w:lang w:val="ru-RU" w:eastAsia="ru-RU"/>
              </w:rPr>
              <w:t xml:space="preserve">Товар должен строго соответствовать ГОСТам, ТУ и опросным листам. </w:t>
            </w:r>
          </w:p>
          <w:p>
            <w:pPr>
              <w:pStyle w:val="39"/>
              <w:shd w:val="clear" w:color="auto" w:fill="auto"/>
              <w:spacing w:line="240" w:lineRule="auto"/>
              <w:contextualSpacing/>
              <w:jc w:val="both"/>
              <w:outlineLvl w:val="0"/>
              <w:rPr>
                <w:rFonts w:hint="default" w:ascii="Times New Roman" w:hAnsi="Times New Roman" w:cs="Times New Roman"/>
                <w:sz w:val="24"/>
                <w:szCs w:val="24"/>
                <w:lang w:val="ru-RU" w:eastAsia="ru-RU"/>
              </w:rPr>
            </w:pPr>
            <w:r>
              <w:rPr>
                <w:rFonts w:hint="default" w:ascii="Times New Roman" w:hAnsi="Times New Roman" w:cs="Times New Roman"/>
                <w:sz w:val="24"/>
                <w:szCs w:val="24"/>
                <w:lang w:val="ru-RU"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pPr>
              <w:pStyle w:val="39"/>
              <w:shd w:val="clear" w:color="auto" w:fill="auto"/>
              <w:spacing w:line="240" w:lineRule="auto"/>
              <w:contextualSpacing/>
              <w:jc w:val="both"/>
              <w:outlineLvl w:val="0"/>
              <w:rPr>
                <w:sz w:val="18"/>
                <w:szCs w:val="18"/>
              </w:rPr>
            </w:pPr>
            <w:r>
              <w:rPr>
                <w:rFonts w:hint="default" w:ascii="Times New Roman" w:hAnsi="Times New Roman" w:cs="Times New Roman"/>
                <w:sz w:val="24"/>
                <w:szCs w:val="24"/>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3640" w:type="dxa"/>
            <w:gridSpan w:val="2"/>
            <w:noWrap w:val="0"/>
            <w:vAlign w:val="top"/>
          </w:tcPr>
          <w:p>
            <w:pPr>
              <w:rPr>
                <w:sz w:val="18"/>
                <w:szCs w:val="18"/>
              </w:rPr>
            </w:pPr>
            <w:r>
              <w:rPr>
                <w:rFonts w:hint="default" w:ascii="Times New Roman" w:hAnsi="Times New Roman" w:cs="Times New Roman"/>
                <w:b/>
                <w:bCs/>
                <w:sz w:val="24"/>
                <w:szCs w:val="24"/>
              </w:rPr>
              <w:t>8. Особые условия</w:t>
            </w:r>
          </w:p>
        </w:tc>
        <w:tc>
          <w:tcPr>
            <w:tcW w:w="11146" w:type="dxa"/>
            <w:gridSpan w:val="6"/>
            <w:noWrap w:val="0"/>
            <w:vAlign w:val="top"/>
          </w:tcPr>
          <w:p>
            <w:pPr>
              <w:rPr>
                <w:sz w:val="18"/>
                <w:szCs w:val="18"/>
              </w:rPr>
            </w:pPr>
            <w:r>
              <w:rPr>
                <w:rFonts w:hint="default" w:ascii="Times New Roman" w:hAnsi="Times New Roman" w:cs="Times New Roman"/>
                <w:sz w:val="24"/>
                <w:szCs w:val="24"/>
              </w:rPr>
              <w:t>Товар поставляется новый, не бывший в употреблении.</w:t>
            </w:r>
            <w:r>
              <w:rPr>
                <w:rFonts w:hint="default" w:ascii="Times New Roman" w:hAnsi="Times New Roman" w:cs="Times New Roman"/>
                <w:sz w:val="24"/>
                <w:szCs w:val="24"/>
              </w:rPr>
              <w:br w:type="textWrapping"/>
            </w:r>
            <w:r>
              <w:rPr>
                <w:rFonts w:hint="default" w:ascii="Times New Roman" w:hAnsi="Times New Roman" w:cs="Times New Roman"/>
                <w:sz w:val="24"/>
                <w:szCs w:val="24"/>
              </w:rPr>
              <w:t>Дата изготовления Товара  - не ранее __ квартала 20__ г.</w:t>
            </w:r>
            <w:r>
              <w:rPr>
                <w:rFonts w:hint="default" w:ascii="Times New Roman" w:hAnsi="Times New Roman" w:cs="Times New Roman"/>
                <w:sz w:val="24"/>
                <w:szCs w:val="24"/>
              </w:rPr>
              <w:br w:type="textWrapping"/>
            </w:r>
            <w:r>
              <w:rPr>
                <w:rFonts w:hint="default" w:ascii="Times New Roman" w:hAnsi="Times New Roman" w:cs="Times New Roman"/>
                <w:sz w:val="24"/>
                <w:szCs w:val="24"/>
              </w:rPr>
              <w:t>Наименование Товара, указываемое в счете- фактуре, паспорте и на бирке должно строго соответствовать наименованию Товара данного Приложения.</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В случае разногласий по комплектации правильным считать комплектацию предусмотренную спецификациями (опросными листами)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trPr>
        <w:tc>
          <w:tcPr>
            <w:tcW w:w="343" w:type="dxa"/>
            <w:tcBorders>
              <w:top w:val="nil"/>
              <w:left w:val="nil"/>
              <w:bottom w:val="nil"/>
              <w:right w:val="nil"/>
            </w:tcBorders>
            <w:noWrap/>
            <w:vAlign w:val="bottom"/>
          </w:tcPr>
          <w:p>
            <w:pPr>
              <w:rPr>
                <w:rFonts w:hint="default" w:ascii="Times New Roman" w:hAnsi="Times New Roman" w:cs="Times New Roman"/>
                <w:sz w:val="24"/>
                <w:szCs w:val="24"/>
              </w:rPr>
            </w:pPr>
          </w:p>
        </w:tc>
        <w:tc>
          <w:tcPr>
            <w:tcW w:w="4835" w:type="dxa"/>
            <w:gridSpan w:val="2"/>
            <w:tcBorders>
              <w:top w:val="nil"/>
              <w:left w:val="nil"/>
              <w:bottom w:val="nil"/>
              <w:right w:val="nil"/>
            </w:tcBorders>
            <w:noWrap/>
            <w:vAlign w:val="bottom"/>
          </w:tcPr>
          <w:p>
            <w:pPr>
              <w:rPr>
                <w:rFonts w:hint="default" w:ascii="Times New Roman" w:hAnsi="Times New Roman" w:cs="Times New Roman"/>
                <w:b/>
                <w:bCs/>
                <w:sz w:val="24"/>
                <w:szCs w:val="24"/>
              </w:rPr>
            </w:pPr>
            <w:r>
              <w:rPr>
                <w:rFonts w:hint="default" w:ascii="Times New Roman" w:hAnsi="Times New Roman" w:cs="Times New Roman"/>
                <w:b/>
                <w:bCs/>
                <w:sz w:val="24"/>
                <w:szCs w:val="24"/>
              </w:rPr>
              <w:t>Покупатель</w:t>
            </w:r>
          </w:p>
        </w:tc>
        <w:tc>
          <w:tcPr>
            <w:tcW w:w="1644" w:type="dxa"/>
            <w:tcBorders>
              <w:top w:val="nil"/>
              <w:left w:val="nil"/>
              <w:bottom w:val="nil"/>
              <w:right w:val="nil"/>
            </w:tcBorders>
            <w:noWrap/>
            <w:vAlign w:val="bottom"/>
          </w:tcPr>
          <w:p>
            <w:pPr>
              <w:rPr>
                <w:rFonts w:hint="default" w:ascii="Times New Roman" w:hAnsi="Times New Roman" w:cs="Times New Roman"/>
                <w:sz w:val="24"/>
                <w:szCs w:val="24"/>
              </w:rPr>
            </w:pPr>
          </w:p>
        </w:tc>
        <w:tc>
          <w:tcPr>
            <w:tcW w:w="449" w:type="dxa"/>
            <w:tcBorders>
              <w:top w:val="nil"/>
              <w:left w:val="nil"/>
              <w:bottom w:val="nil"/>
              <w:right w:val="nil"/>
            </w:tcBorders>
            <w:noWrap/>
            <w:vAlign w:val="bottom"/>
          </w:tcPr>
          <w:p>
            <w:pPr>
              <w:rPr>
                <w:rFonts w:hint="default" w:ascii="Times New Roman" w:hAnsi="Times New Roman" w:cs="Times New Roman"/>
                <w:sz w:val="24"/>
                <w:szCs w:val="24"/>
              </w:rPr>
            </w:pPr>
          </w:p>
        </w:tc>
        <w:tc>
          <w:tcPr>
            <w:tcW w:w="6648" w:type="dxa"/>
            <w:tcBorders>
              <w:top w:val="nil"/>
              <w:left w:val="nil"/>
              <w:bottom w:val="nil"/>
              <w:right w:val="nil"/>
            </w:tcBorders>
            <w:noWrap/>
            <w:vAlign w:val="bottom"/>
          </w:tcPr>
          <w:p>
            <w:pPr>
              <w:rPr>
                <w:rFonts w:hint="default" w:ascii="Times New Roman" w:hAnsi="Times New Roman" w:cs="Times New Roman"/>
                <w:b/>
                <w:bCs/>
                <w:sz w:val="24"/>
                <w:szCs w:val="24"/>
              </w:rPr>
            </w:pPr>
            <w:r>
              <w:rPr>
                <w:rFonts w:hint="default" w:ascii="Times New Roman" w:hAnsi="Times New Roman" w:cs="Times New Roman"/>
                <w:b/>
                <w:bCs/>
                <w:sz w:val="24"/>
                <w:szCs w:val="24"/>
              </w:rPr>
              <w:t>Поставщик</w:t>
            </w:r>
          </w:p>
        </w:tc>
        <w:tc>
          <w:tcPr>
            <w:tcW w:w="488" w:type="dxa"/>
            <w:tcBorders>
              <w:top w:val="nil"/>
              <w:left w:val="nil"/>
              <w:bottom w:val="nil"/>
              <w:right w:val="nil"/>
            </w:tcBorders>
            <w:noWrap/>
            <w:vAlign w:val="bottom"/>
          </w:tcPr>
          <w:p>
            <w:pPr>
              <w:rPr>
                <w:rFonts w:hint="default" w:ascii="Times New Roman" w:hAnsi="Times New Roman" w:cs="Times New Roman"/>
                <w:sz w:val="24"/>
                <w:szCs w:val="24"/>
              </w:rPr>
            </w:pPr>
          </w:p>
        </w:tc>
        <w:tc>
          <w:tcPr>
            <w:tcW w:w="379" w:type="dxa"/>
            <w:tcBorders>
              <w:top w:val="nil"/>
              <w:left w:val="nil"/>
              <w:bottom w:val="nil"/>
              <w:right w:val="nil"/>
            </w:tcBorders>
            <w:noWrap/>
            <w:vAlign w:val="bottom"/>
          </w:tcPr>
          <w:p>
            <w:pPr>
              <w:rPr>
                <w:rFonts w:hint="default" w:ascii="Times New Roman" w:hAnsi="Times New Roman" w:cs="Times New Roman"/>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43" w:type="dxa"/>
            <w:tcBorders>
              <w:top w:val="nil"/>
              <w:left w:val="nil"/>
              <w:bottom w:val="nil"/>
              <w:right w:val="nil"/>
            </w:tcBorders>
            <w:noWrap/>
            <w:vAlign w:val="bottom"/>
          </w:tcPr>
          <w:p>
            <w:pPr>
              <w:rPr>
                <w:rFonts w:hint="default" w:ascii="Times New Roman" w:hAnsi="Times New Roman" w:cs="Times New Roman"/>
                <w:sz w:val="24"/>
                <w:szCs w:val="24"/>
              </w:rPr>
            </w:pPr>
          </w:p>
        </w:tc>
        <w:tc>
          <w:tcPr>
            <w:tcW w:w="4835" w:type="dxa"/>
            <w:gridSpan w:val="2"/>
            <w:tcBorders>
              <w:top w:val="nil"/>
              <w:left w:val="nil"/>
              <w:bottom w:val="nil"/>
              <w:right w:val="nil"/>
            </w:tcBorders>
            <w:noWrap/>
            <w:vAlign w:val="bottom"/>
          </w:tcPr>
          <w:p>
            <w:pPr>
              <w:pStyle w:val="45"/>
              <w:snapToGrid w:val="0"/>
              <w:rPr>
                <w:rFonts w:hint="default" w:ascii="Times New Roman" w:hAnsi="Times New Roman" w:cs="Times New Roman"/>
                <w:bCs/>
                <w:color w:val="000000"/>
                <w:sz w:val="24"/>
                <w:szCs w:val="24"/>
              </w:rPr>
            </w:pPr>
          </w:p>
          <w:p>
            <w:pPr>
              <w:pStyle w:val="45"/>
              <w:snapToGrid w:val="0"/>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rPr>
              <w:t>Главный управляющий директор</w:t>
            </w:r>
          </w:p>
          <w:p>
            <w:pPr>
              <w:pStyle w:val="45"/>
              <w:rPr>
                <w:rFonts w:hint="default" w:ascii="Times New Roman" w:hAnsi="Times New Roman" w:cs="Times New Roman"/>
                <w:bCs/>
                <w:color w:val="000000"/>
                <w:sz w:val="24"/>
                <w:szCs w:val="24"/>
              </w:rPr>
            </w:pPr>
          </w:p>
          <w:p>
            <w:pPr>
              <w:pStyle w:val="45"/>
              <w:rPr>
                <w:rFonts w:hint="default" w:ascii="Times New Roman" w:hAnsi="Times New Roman" w:cs="Times New Roman"/>
                <w:bCs/>
                <w:sz w:val="24"/>
                <w:szCs w:val="24"/>
              </w:rPr>
            </w:pPr>
            <w:r>
              <w:rPr>
                <w:rFonts w:hint="default" w:ascii="Times New Roman" w:hAnsi="Times New Roman" w:cs="Times New Roman"/>
                <w:bCs/>
                <w:color w:val="000000"/>
                <w:sz w:val="24"/>
                <w:szCs w:val="24"/>
              </w:rPr>
              <w:t>___________________/ Трофимов А.В. /</w:t>
            </w:r>
          </w:p>
          <w:p>
            <w:pPr>
              <w:rPr>
                <w:rFonts w:hint="default" w:ascii="Times New Roman" w:hAnsi="Times New Roman" w:cs="Times New Roman"/>
                <w:sz w:val="24"/>
                <w:szCs w:val="24"/>
              </w:rPr>
            </w:pPr>
            <w:r>
              <w:rPr>
                <w:rFonts w:hint="default" w:ascii="Times New Roman" w:hAnsi="Times New Roman" w:cs="Times New Roman"/>
                <w:bCs/>
                <w:sz w:val="24"/>
                <w:szCs w:val="24"/>
              </w:rPr>
              <w:t>Дата подписания «___»_________ 2021 года</w:t>
            </w:r>
          </w:p>
        </w:tc>
        <w:tc>
          <w:tcPr>
            <w:tcW w:w="1644" w:type="dxa"/>
            <w:tcBorders>
              <w:top w:val="nil"/>
              <w:left w:val="nil"/>
              <w:bottom w:val="nil"/>
              <w:right w:val="nil"/>
            </w:tcBorders>
            <w:noWrap/>
            <w:vAlign w:val="bottom"/>
          </w:tcPr>
          <w:p>
            <w:pPr>
              <w:rPr>
                <w:rFonts w:hint="default" w:ascii="Times New Roman" w:hAnsi="Times New Roman" w:cs="Times New Roman"/>
                <w:sz w:val="24"/>
                <w:szCs w:val="24"/>
              </w:rPr>
            </w:pPr>
          </w:p>
        </w:tc>
        <w:tc>
          <w:tcPr>
            <w:tcW w:w="449" w:type="dxa"/>
            <w:tcBorders>
              <w:top w:val="nil"/>
              <w:left w:val="nil"/>
              <w:bottom w:val="nil"/>
              <w:right w:val="nil"/>
            </w:tcBorders>
            <w:noWrap/>
            <w:vAlign w:val="bottom"/>
          </w:tcPr>
          <w:p>
            <w:pPr>
              <w:rPr>
                <w:rFonts w:hint="default" w:ascii="Times New Roman" w:hAnsi="Times New Roman" w:cs="Times New Roman"/>
                <w:sz w:val="24"/>
                <w:szCs w:val="24"/>
              </w:rPr>
            </w:pPr>
          </w:p>
        </w:tc>
        <w:tc>
          <w:tcPr>
            <w:tcW w:w="6648" w:type="dxa"/>
            <w:tcBorders>
              <w:top w:val="nil"/>
              <w:left w:val="nil"/>
              <w:bottom w:val="nil"/>
              <w:right w:val="nil"/>
            </w:tcBorders>
            <w:noWrap/>
            <w:vAlign w:val="bottom"/>
          </w:tcPr>
          <w:p>
            <w:pPr>
              <w:pStyle w:val="45"/>
              <w:snapToGrid w:val="0"/>
              <w:rPr>
                <w:rFonts w:hint="default" w:ascii="Times New Roman" w:hAnsi="Times New Roman" w:cs="Times New Roman"/>
                <w:bCs/>
                <w:color w:val="000000"/>
                <w:sz w:val="24"/>
                <w:szCs w:val="24"/>
              </w:rPr>
            </w:pPr>
          </w:p>
        </w:tc>
        <w:tc>
          <w:tcPr>
            <w:tcW w:w="488" w:type="dxa"/>
            <w:tcBorders>
              <w:top w:val="nil"/>
              <w:left w:val="nil"/>
              <w:bottom w:val="nil"/>
              <w:right w:val="nil"/>
            </w:tcBorders>
            <w:noWrap/>
            <w:vAlign w:val="bottom"/>
          </w:tcPr>
          <w:p>
            <w:pPr>
              <w:rPr>
                <w:rFonts w:hint="default" w:ascii="Times New Roman" w:hAnsi="Times New Roman" w:cs="Times New Roman"/>
                <w:sz w:val="24"/>
                <w:szCs w:val="24"/>
              </w:rPr>
            </w:pPr>
          </w:p>
        </w:tc>
        <w:tc>
          <w:tcPr>
            <w:tcW w:w="379" w:type="dxa"/>
            <w:tcBorders>
              <w:top w:val="nil"/>
              <w:left w:val="nil"/>
              <w:bottom w:val="nil"/>
              <w:right w:val="nil"/>
            </w:tcBorders>
            <w:noWrap/>
            <w:vAlign w:val="bottom"/>
          </w:tcPr>
          <w:p>
            <w:pPr>
              <w:rPr>
                <w:rFonts w:hint="default" w:ascii="Times New Roman" w:hAnsi="Times New Roman" w:cs="Times New Roman"/>
                <w:sz w:val="24"/>
                <w:szCs w:val="24"/>
              </w:rPr>
            </w:pPr>
          </w:p>
        </w:tc>
      </w:tr>
    </w:tbl>
    <w:p>
      <w:pPr>
        <w:rPr>
          <w:rFonts w:hint="default" w:ascii="Times New Roman" w:hAnsi="Times New Roman" w:cs="Times New Roman"/>
          <w:sz w:val="24"/>
          <w:szCs w:val="24"/>
        </w:rPr>
      </w:pPr>
    </w:p>
    <w:p>
      <w:pPr>
        <w:jc w:val="center"/>
        <w:rPr>
          <w:rFonts w:hint="default" w:ascii="Times New Roman" w:hAnsi="Times New Roman" w:cs="Times New Roman"/>
          <w:sz w:val="24"/>
          <w:szCs w:val="24"/>
        </w:rPr>
      </w:pPr>
      <w:r>
        <w:rPr>
          <w:rFonts w:hint="default" w:ascii="Times New Roman" w:hAnsi="Times New Roman" w:cs="Times New Roman"/>
          <w:sz w:val="24"/>
          <w:szCs w:val="24"/>
        </w:rPr>
        <w:t>Форма согласована</w:t>
      </w:r>
    </w:p>
    <w:p>
      <w:pPr>
        <w:ind w:left="16" w:leftChars="0" w:hanging="16" w:hangingChars="7"/>
        <w:jc w:val="right"/>
        <w:rPr>
          <w:b/>
        </w:rPr>
      </w:pPr>
      <w:r>
        <w:rPr>
          <w:rFonts w:hint="default" w:ascii="Times New Roman" w:hAnsi="Times New Roman" w:cs="Times New Roman"/>
          <w:sz w:val="24"/>
          <w:szCs w:val="24"/>
        </w:rPr>
        <w:br w:type="page"/>
      </w:r>
      <w:r>
        <w:rPr>
          <w:b/>
          <w:bCs/>
        </w:rPr>
        <w:t>Приложение №</w:t>
      </w:r>
      <w:r>
        <w:rPr>
          <w:rFonts w:hint="default"/>
          <w:b/>
          <w:bCs/>
          <w:lang w:val="ru-RU"/>
        </w:rPr>
        <w:t xml:space="preserve"> </w:t>
      </w:r>
      <w:r>
        <w:rPr>
          <w:b/>
          <w:bCs/>
        </w:rPr>
        <w:t xml:space="preserve">2 </w:t>
      </w:r>
      <w:r>
        <w:rPr>
          <w:b/>
        </w:rPr>
        <w:t>к Договору №______</w:t>
      </w:r>
    </w:p>
    <w:p>
      <w:pPr>
        <w:ind w:left="11057"/>
        <w:jc w:val="center"/>
        <w:rPr>
          <w:rFonts w:ascii="Tahoma" w:hAnsi="Tahoma" w:cs="Tahoma"/>
        </w:rPr>
      </w:pPr>
    </w:p>
    <w:p>
      <w:pPr>
        <w:rPr>
          <w:rFonts w:ascii="Tahoma" w:hAnsi="Tahoma" w:cs="Tahoma"/>
        </w:rPr>
      </w:pPr>
    </w:p>
    <w:p>
      <w:pPr>
        <w:jc w:val="center"/>
        <w:rPr>
          <w:rFonts w:hint="default" w:ascii="Tahoma" w:hAnsi="Tahoma" w:cs="Tahoma"/>
          <w:lang w:val="ru-RU"/>
        </w:rPr>
      </w:pPr>
      <w:r>
        <w:rPr>
          <w:rFonts w:ascii="Tahoma" w:hAnsi="Tahoma" w:cs="Tahoma"/>
        </w:rPr>
        <w:t>ТЕХНИЧЕСК</w:t>
      </w:r>
      <w:r>
        <w:rPr>
          <w:rFonts w:ascii="Tahoma" w:hAnsi="Tahoma" w:cs="Tahoma"/>
          <w:lang w:val="ru-RU"/>
        </w:rPr>
        <w:t>ОЕ</w:t>
      </w:r>
      <w:r>
        <w:rPr>
          <w:rFonts w:hint="default" w:ascii="Tahoma" w:hAnsi="Tahoma" w:cs="Tahoma"/>
          <w:lang w:val="ru-RU"/>
        </w:rPr>
        <w:t xml:space="preserve"> ОПИСАНИЕ ТОВАРА (илосос) с указанием этапов поставки</w:t>
      </w:r>
    </w:p>
    <w:p>
      <w:pPr>
        <w:ind w:left="16" w:leftChars="0" w:hanging="16" w:hangingChars="7"/>
        <w:jc w:val="right"/>
        <w:rPr>
          <w:b/>
        </w:rPr>
      </w:pPr>
      <w:r>
        <w:rPr>
          <w:rFonts w:hint="default" w:ascii="Times New Roman" w:hAnsi="Times New Roman" w:cs="Times New Roman"/>
          <w:sz w:val="24"/>
          <w:szCs w:val="24"/>
          <w:lang w:val="ru-RU"/>
        </w:rPr>
        <w:br w:type="page"/>
      </w:r>
      <w:r>
        <w:rPr>
          <w:b/>
          <w:bCs/>
        </w:rPr>
        <w:t>Приложение №</w:t>
      </w:r>
      <w:r>
        <w:rPr>
          <w:rFonts w:hint="default"/>
          <w:b/>
          <w:bCs/>
          <w:lang w:val="ru-RU"/>
        </w:rPr>
        <w:t xml:space="preserve"> 3</w:t>
      </w:r>
      <w:r>
        <w:rPr>
          <w:b/>
          <w:bCs/>
        </w:rPr>
        <w:t xml:space="preserve"> </w:t>
      </w:r>
      <w:r>
        <w:rPr>
          <w:b/>
        </w:rPr>
        <w:t>к Договору №______</w:t>
      </w:r>
    </w:p>
    <w:p>
      <w:pPr>
        <w:ind w:left="11057"/>
        <w:jc w:val="center"/>
        <w:rPr>
          <w:rFonts w:ascii="Tahoma" w:hAnsi="Tahoma" w:cs="Tahoma"/>
        </w:rPr>
      </w:pPr>
    </w:p>
    <w:p>
      <w:pPr>
        <w:rPr>
          <w:rFonts w:ascii="Tahoma" w:hAnsi="Tahoma" w:cs="Tahoma"/>
        </w:rPr>
      </w:pPr>
    </w:p>
    <w:p>
      <w:pPr>
        <w:jc w:val="center"/>
        <w:rPr>
          <w:rFonts w:hint="default" w:ascii="Tahoma" w:hAnsi="Tahoma" w:cs="Tahoma"/>
          <w:lang w:val="ru-RU"/>
        </w:rPr>
      </w:pPr>
      <w:r>
        <w:rPr>
          <w:rFonts w:ascii="Tahoma" w:hAnsi="Tahoma" w:cs="Tahoma"/>
        </w:rPr>
        <w:t>ТЕХНИЧЕСК</w:t>
      </w:r>
      <w:r>
        <w:rPr>
          <w:rFonts w:ascii="Tahoma" w:hAnsi="Tahoma" w:cs="Tahoma"/>
          <w:lang w:val="ru-RU"/>
        </w:rPr>
        <w:t>ОЕ</w:t>
      </w:r>
      <w:r>
        <w:rPr>
          <w:rFonts w:hint="default" w:ascii="Tahoma" w:hAnsi="Tahoma" w:cs="Tahoma"/>
          <w:lang w:val="ru-RU"/>
        </w:rPr>
        <w:t xml:space="preserve"> ОПИСАНИЕ ТОВАРА (илоскрёб) с указанием этапов поставки</w:t>
      </w:r>
    </w:p>
    <w:p>
      <w:pPr>
        <w:jc w:val="center"/>
        <w:rPr>
          <w:rFonts w:hint="default" w:ascii="Tahoma" w:hAnsi="Tahoma" w:cs="Tahoma"/>
          <w:lang w:val="ru-RU"/>
        </w:rPr>
      </w:pPr>
    </w:p>
    <w:p>
      <w:pPr>
        <w:jc w:val="left"/>
        <w:rPr>
          <w:rFonts w:hint="default" w:ascii="Times New Roman" w:hAnsi="Times New Roman" w:cs="Times New Roman"/>
          <w:sz w:val="24"/>
          <w:szCs w:val="24"/>
          <w:lang w:val="ru-RU"/>
        </w:rPr>
      </w:pPr>
    </w:p>
    <w:sectPr>
      <w:pgSz w:w="16838" w:h="11906" w:orient="landscape"/>
      <w:pgMar w:top="1134" w:right="1134" w:bottom="567" w:left="1134" w:header="709" w:footer="709" w:gutter="0"/>
      <w:paperSrc/>
      <w:cols w:space="72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CC"/>
    <w:family w:val="roman"/>
    <w:pitch w:val="default"/>
    <w:sig w:usb0="E00002FF" w:usb1="400004FF" w:usb2="00000000" w:usb3="00000000" w:csb0="2000019F" w:csb1="00000000"/>
  </w:font>
  <w:font w:name="Calibri">
    <w:panose1 w:val="020F0502020204030204"/>
    <w:charset w:val="CC"/>
    <w:family w:val="swiss"/>
    <w:pitch w:val="default"/>
    <w:sig w:usb0="E00002FF" w:usb1="4000ACFF" w:usb2="00000001" w:usb3="00000000" w:csb0="2000019F" w:csb1="00000000"/>
  </w:font>
  <w:font w:name="Arial">
    <w:panose1 w:val="020B0604020202020204"/>
    <w:charset w:val="CC"/>
    <w:family w:val="swiss"/>
    <w:pitch w:val="default"/>
    <w:sig w:usb0="E0002AFF" w:usb1="C0007843" w:usb2="00000009" w:usb3="00000000" w:csb0="400001FF" w:csb1="FFFF0000"/>
  </w:font>
  <w:font w:name="Tahoma">
    <w:panose1 w:val="020B0604030504040204"/>
    <w:charset w:val="CC"/>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top w:val="single" w:color="auto" w:sz="4" w:space="0"/>
      </w:pBdr>
      <w:tabs>
        <w:tab w:val="clear" w:pos="9355"/>
      </w:tabs>
      <w:rPr>
        <w:rFonts w:ascii="Tahoma" w:hAnsi="Tahoma" w:cs="Tahoma"/>
        <w:sz w:val="20"/>
      </w:rPr>
    </w:pPr>
  </w:p>
  <w:p>
    <w:pPr>
      <w:pStyle w:val="19"/>
      <w:pBdr>
        <w:top w:val="single" w:color="auto" w:sz="4" w:space="0"/>
      </w:pBdr>
      <w:tabs>
        <w:tab w:val="clear" w:pos="9355"/>
      </w:tabs>
      <w:rPr>
        <w:sz w:val="20"/>
      </w:rPr>
    </w:pPr>
    <w:r>
      <w:rPr>
        <w:sz w:val="20"/>
      </w:rPr>
      <w:t>__________________________ /Поставщик/                       __________________________/Покупатель/</w:t>
    </w:r>
  </w:p>
  <w:p>
    <w:pPr>
      <w:pStyle w:val="16"/>
      <w:pBdr>
        <w:bottom w:val="single" w:color="auto" w:sz="4" w:space="0"/>
      </w:pBdr>
      <w:rPr>
        <w:sz w:val="20"/>
      </w:rPr>
    </w:pPr>
  </w:p>
  <w:p>
    <w:pPr>
      <w:pStyle w:val="16"/>
      <w:pBdr>
        <w:bottom w:val="single" w:color="auto" w:sz="4" w:space="0"/>
      </w:pBdr>
      <w:rPr>
        <w:sz w:val="20"/>
      </w:rPr>
    </w:pPr>
    <w:r>
      <w:rPr>
        <w:sz w:val="20"/>
      </w:rPr>
      <w:t xml:space="preserve">Договор № _______ от «______» </w:t>
    </w:r>
    <w:r>
      <w:rPr>
        <w:sz w:val="20"/>
        <w:szCs w:val="20"/>
        <w:lang w:val="ru-RU"/>
      </w:rPr>
      <w:t>_______</w:t>
    </w:r>
    <w:r>
      <w:rPr>
        <w:b/>
        <w:sz w:val="20"/>
        <w:szCs w:val="20"/>
      </w:rPr>
      <w:t xml:space="preserve"> </w:t>
    </w:r>
    <w:r>
      <w:rPr>
        <w:sz w:val="20"/>
      </w:rPr>
      <w:t>20</w:t>
    </w:r>
    <w:r>
      <w:rPr>
        <w:sz w:val="20"/>
        <w:lang w:val="en-US"/>
      </w:rPr>
      <w:t>__</w:t>
    </w:r>
    <w:r>
      <w:rPr>
        <w:sz w:val="20"/>
      </w:rPr>
      <w:t xml:space="preserve"> года,                                                             стр. </w:t>
    </w:r>
    <w:r>
      <w:rPr>
        <w:sz w:val="20"/>
      </w:rPr>
      <w:fldChar w:fldCharType="begin"/>
    </w:r>
    <w:r>
      <w:rPr>
        <w:sz w:val="20"/>
      </w:rPr>
      <w:instrText xml:space="preserve"> PAGE </w:instrText>
    </w:r>
    <w:r>
      <w:rPr>
        <w:sz w:val="20"/>
      </w:rPr>
      <w:fldChar w:fldCharType="separate"/>
    </w:r>
    <w:r>
      <w:rPr>
        <w:sz w:val="20"/>
        <w:lang/>
      </w:rPr>
      <w:t>17</w:t>
    </w:r>
    <w:r>
      <w:rPr>
        <w:sz w:val="20"/>
      </w:rPr>
      <w:fldChar w:fldCharType="end"/>
    </w:r>
    <w:r>
      <w:rPr>
        <w:sz w:val="20"/>
      </w:rPr>
      <w:t xml:space="preserve"> из </w:t>
    </w:r>
    <w:r>
      <w:rPr>
        <w:sz w:val="20"/>
      </w:rPr>
      <w:fldChar w:fldCharType="begin"/>
    </w:r>
    <w:r>
      <w:rPr>
        <w:sz w:val="20"/>
      </w:rPr>
      <w:instrText xml:space="preserve"> NUMPAGES </w:instrText>
    </w:r>
    <w:r>
      <w:rPr>
        <w:sz w:val="20"/>
      </w:rPr>
      <w:fldChar w:fldCharType="separate"/>
    </w:r>
    <w:r>
      <w:rPr>
        <w:sz w:val="20"/>
        <w:lang/>
      </w:rPr>
      <w:t>17</w:t>
    </w:r>
    <w:r>
      <w:rPr>
        <w:sz w:val="20"/>
      </w:rPr>
      <w:fldChar w:fldCharType="end"/>
    </w:r>
  </w:p>
  <w:p>
    <w:pPr>
      <w:pStyle w:val="16"/>
      <w:pBdr>
        <w:bottom w:val="single" w:color="auto" w:sz="4" w:space="0"/>
      </w:pBdr>
      <w:tabs>
        <w:tab w:val="left" w:pos="5650"/>
        <w:tab w:val="clear" w:pos="4677"/>
        <w:tab w:val="clear" w:pos="9355"/>
      </w:tabs>
      <w:rPr>
        <w:rFonts w:ascii="Tahoma" w:hAnsi="Tahoma" w:cs="Tahoma"/>
        <w:sz w:val="20"/>
      </w:rPr>
    </w:pPr>
    <w:r>
      <w:rPr>
        <w:rFonts w:ascii="Tahoma" w:hAnsi="Tahoma" w:cs="Tahom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bullet"/>
      <w:lvlText w:val="*"/>
      <w:lvlJc w:val="left"/>
    </w:lvl>
  </w:abstractNum>
  <w:abstractNum w:abstractNumId="1">
    <w:nsid w:val="28F44AD2"/>
    <w:multiLevelType w:val="multilevel"/>
    <w:tmpl w:val="28F44AD2"/>
    <w:lvl w:ilvl="0" w:tentative="0">
      <w:start w:val="1"/>
      <w:numFmt w:val="decimal"/>
      <w:lvlText w:val="3.%1."/>
      <w:lvlJc w:val="left"/>
      <w:pPr>
        <w:tabs>
          <w:tab w:val="left" w:pos="851"/>
        </w:tabs>
        <w:ind w:left="284" w:firstLine="567"/>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2">
    <w:nsid w:val="296D6FB9"/>
    <w:multiLevelType w:val="multilevel"/>
    <w:tmpl w:val="296D6FB9"/>
    <w:lvl w:ilvl="0" w:tentative="0">
      <w:start w:val="1"/>
      <w:numFmt w:val="none"/>
      <w:lvlText w:val="3.8."/>
      <w:lvlJc w:val="left"/>
      <w:pPr>
        <w:tabs>
          <w:tab w:val="left" w:pos="851"/>
        </w:tabs>
        <w:ind w:left="284" w:firstLine="567"/>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481779CA"/>
    <w:multiLevelType w:val="singleLevel"/>
    <w:tmpl w:val="481779CA"/>
    <w:lvl w:ilvl="0" w:tentative="0">
      <w:start w:val="1"/>
      <w:numFmt w:val="decimal"/>
      <w:suff w:val="space"/>
      <w:lvlText w:val="%1."/>
      <w:lvlJc w:val="left"/>
    </w:lvl>
  </w:abstractNum>
  <w:num w:numId="1">
    <w:abstractNumId w:val="0"/>
    <w:lvlOverride w:ilvl="0">
      <w:lvl w:ilvl="0" w:tentative="1">
        <w:start w:val="0"/>
        <w:numFmt w:val="bullet"/>
        <w:lvlText w:val="-"/>
        <w:legacy w:legacy="1" w:legacySpace="0" w:legacyIndent="230"/>
        <w:lvlJc w:val="left"/>
        <w:rPr>
          <w:rFonts w:hint="default" w:ascii="Times New Roman" w:hAnsi="Times New Roman" w:cs="Times New Roman"/>
        </w:rPr>
      </w:lvl>
    </w:lvlOverride>
  </w:num>
  <w:num w:numId="2">
    <w:abstractNumId w:val="0"/>
    <w:lvlOverride w:ilvl="0">
      <w:lvl w:ilvl="0" w:tentative="1">
        <w:start w:val="0"/>
        <w:numFmt w:val="bullet"/>
        <w:lvlText w:val="-"/>
        <w:legacy w:legacy="1" w:legacySpace="0" w:legacyIndent="134"/>
        <w:lvlJc w:val="left"/>
        <w:rPr>
          <w:rFonts w:hint="default" w:ascii="Times New Roman" w:hAnsi="Times New Roman" w:cs="Times New Roman"/>
        </w:rPr>
      </w:lvl>
    </w:lvlOverride>
  </w:num>
  <w:num w:numId="3">
    <w:abstractNumId w:val="0"/>
    <w:lvlOverride w:ilvl="0">
      <w:lvl w:ilvl="0" w:tentative="1">
        <w:start w:val="0"/>
        <w:numFmt w:val="bullet"/>
        <w:lvlText w:val="-"/>
        <w:legacy w:legacy="1" w:legacySpace="0" w:legacyIndent="250"/>
        <w:lvlJc w:val="left"/>
        <w:rPr>
          <w:rFonts w:hint="default" w:ascii="Times New Roman" w:hAnsi="Times New Roman" w:cs="Times New Roman"/>
        </w:rPr>
      </w:lvl>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360"/>
  <w:drawingGridHorizontalSpacing w:val="120"/>
  <w:displayHorizontalDrawingGridEvery w:val="2"/>
  <w:displayVerticalDrawingGridEvery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929"/>
    <w:rsid w:val="000000AF"/>
    <w:rsid w:val="00000A20"/>
    <w:rsid w:val="00001155"/>
    <w:rsid w:val="00001B26"/>
    <w:rsid w:val="00006660"/>
    <w:rsid w:val="00007BC1"/>
    <w:rsid w:val="00022116"/>
    <w:rsid w:val="00027ED9"/>
    <w:rsid w:val="00032143"/>
    <w:rsid w:val="000359B2"/>
    <w:rsid w:val="00035E6F"/>
    <w:rsid w:val="00036DBE"/>
    <w:rsid w:val="00040BAD"/>
    <w:rsid w:val="00045DD5"/>
    <w:rsid w:val="00046D56"/>
    <w:rsid w:val="00050818"/>
    <w:rsid w:val="00062700"/>
    <w:rsid w:val="0007433B"/>
    <w:rsid w:val="000767A2"/>
    <w:rsid w:val="000771D3"/>
    <w:rsid w:val="000771EA"/>
    <w:rsid w:val="0007772F"/>
    <w:rsid w:val="0008588A"/>
    <w:rsid w:val="00094AB1"/>
    <w:rsid w:val="000A0717"/>
    <w:rsid w:val="000A072A"/>
    <w:rsid w:val="000A74A3"/>
    <w:rsid w:val="000C329C"/>
    <w:rsid w:val="000D021C"/>
    <w:rsid w:val="000D21C5"/>
    <w:rsid w:val="000D57CB"/>
    <w:rsid w:val="000D6061"/>
    <w:rsid w:val="000D7A54"/>
    <w:rsid w:val="000E271C"/>
    <w:rsid w:val="000E37CE"/>
    <w:rsid w:val="000F1EAD"/>
    <w:rsid w:val="000F2F1B"/>
    <w:rsid w:val="000F501D"/>
    <w:rsid w:val="000F5984"/>
    <w:rsid w:val="001018DB"/>
    <w:rsid w:val="001100E7"/>
    <w:rsid w:val="00120E8C"/>
    <w:rsid w:val="00123A32"/>
    <w:rsid w:val="00127FD0"/>
    <w:rsid w:val="0013356B"/>
    <w:rsid w:val="00133E5B"/>
    <w:rsid w:val="001437A3"/>
    <w:rsid w:val="0014408E"/>
    <w:rsid w:val="001522D2"/>
    <w:rsid w:val="0015323D"/>
    <w:rsid w:val="00153D62"/>
    <w:rsid w:val="00156C53"/>
    <w:rsid w:val="0016079B"/>
    <w:rsid w:val="00162CE5"/>
    <w:rsid w:val="0017050D"/>
    <w:rsid w:val="001749E2"/>
    <w:rsid w:val="00181A3D"/>
    <w:rsid w:val="00182233"/>
    <w:rsid w:val="00185915"/>
    <w:rsid w:val="0018726F"/>
    <w:rsid w:val="001923B0"/>
    <w:rsid w:val="00192784"/>
    <w:rsid w:val="00192CC4"/>
    <w:rsid w:val="001937E3"/>
    <w:rsid w:val="001952BF"/>
    <w:rsid w:val="0019647C"/>
    <w:rsid w:val="0019660A"/>
    <w:rsid w:val="001979CA"/>
    <w:rsid w:val="001A46EA"/>
    <w:rsid w:val="001B66D7"/>
    <w:rsid w:val="001B6ABC"/>
    <w:rsid w:val="001C4879"/>
    <w:rsid w:val="001C5497"/>
    <w:rsid w:val="001D1031"/>
    <w:rsid w:val="001D2C4F"/>
    <w:rsid w:val="001D6FD9"/>
    <w:rsid w:val="001E11ED"/>
    <w:rsid w:val="001E2C06"/>
    <w:rsid w:val="001F01CE"/>
    <w:rsid w:val="001F11B5"/>
    <w:rsid w:val="001F1720"/>
    <w:rsid w:val="001F3ECA"/>
    <w:rsid w:val="001F4AA0"/>
    <w:rsid w:val="001F6DAC"/>
    <w:rsid w:val="001F76B5"/>
    <w:rsid w:val="002000A0"/>
    <w:rsid w:val="002005BF"/>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00C4"/>
    <w:rsid w:val="00243404"/>
    <w:rsid w:val="00252395"/>
    <w:rsid w:val="00253CFA"/>
    <w:rsid w:val="00256D9B"/>
    <w:rsid w:val="00261B50"/>
    <w:rsid w:val="00263E4E"/>
    <w:rsid w:val="002651E9"/>
    <w:rsid w:val="00282A1D"/>
    <w:rsid w:val="00287BB2"/>
    <w:rsid w:val="00296235"/>
    <w:rsid w:val="002A5302"/>
    <w:rsid w:val="002A674C"/>
    <w:rsid w:val="002B2A56"/>
    <w:rsid w:val="002B3A2C"/>
    <w:rsid w:val="002C25F9"/>
    <w:rsid w:val="002C2C4C"/>
    <w:rsid w:val="002C6D30"/>
    <w:rsid w:val="002D064C"/>
    <w:rsid w:val="002D3932"/>
    <w:rsid w:val="002D4A9F"/>
    <w:rsid w:val="002F5AF1"/>
    <w:rsid w:val="003012A1"/>
    <w:rsid w:val="00311F48"/>
    <w:rsid w:val="00315372"/>
    <w:rsid w:val="0032321F"/>
    <w:rsid w:val="00324E7F"/>
    <w:rsid w:val="00332888"/>
    <w:rsid w:val="003332DF"/>
    <w:rsid w:val="00341335"/>
    <w:rsid w:val="003477FA"/>
    <w:rsid w:val="003502D6"/>
    <w:rsid w:val="00350E57"/>
    <w:rsid w:val="00351155"/>
    <w:rsid w:val="0036397B"/>
    <w:rsid w:val="00371379"/>
    <w:rsid w:val="00376F28"/>
    <w:rsid w:val="003777A3"/>
    <w:rsid w:val="0038203C"/>
    <w:rsid w:val="00391B07"/>
    <w:rsid w:val="00392B62"/>
    <w:rsid w:val="00396D4C"/>
    <w:rsid w:val="003A2288"/>
    <w:rsid w:val="003B0929"/>
    <w:rsid w:val="003B2662"/>
    <w:rsid w:val="003C01D2"/>
    <w:rsid w:val="003C0B4F"/>
    <w:rsid w:val="003C51C9"/>
    <w:rsid w:val="003C5929"/>
    <w:rsid w:val="003E254C"/>
    <w:rsid w:val="003E5C63"/>
    <w:rsid w:val="003E763E"/>
    <w:rsid w:val="003F7EC7"/>
    <w:rsid w:val="0040370C"/>
    <w:rsid w:val="00403F8B"/>
    <w:rsid w:val="004075D5"/>
    <w:rsid w:val="00412567"/>
    <w:rsid w:val="00416012"/>
    <w:rsid w:val="00425B89"/>
    <w:rsid w:val="004262AC"/>
    <w:rsid w:val="00430BF2"/>
    <w:rsid w:val="00444C62"/>
    <w:rsid w:val="004470A6"/>
    <w:rsid w:val="00457CE0"/>
    <w:rsid w:val="00470496"/>
    <w:rsid w:val="004864FA"/>
    <w:rsid w:val="004874B8"/>
    <w:rsid w:val="00491E65"/>
    <w:rsid w:val="004A584E"/>
    <w:rsid w:val="004B0CDE"/>
    <w:rsid w:val="004B4083"/>
    <w:rsid w:val="004B5BF2"/>
    <w:rsid w:val="004C1F75"/>
    <w:rsid w:val="004D1C84"/>
    <w:rsid w:val="004D4771"/>
    <w:rsid w:val="004E2997"/>
    <w:rsid w:val="004E6794"/>
    <w:rsid w:val="004F1935"/>
    <w:rsid w:val="004F2FDB"/>
    <w:rsid w:val="004F6A1F"/>
    <w:rsid w:val="00504659"/>
    <w:rsid w:val="005121C9"/>
    <w:rsid w:val="00512EB7"/>
    <w:rsid w:val="00513C87"/>
    <w:rsid w:val="00521EF4"/>
    <w:rsid w:val="00522A08"/>
    <w:rsid w:val="0054331E"/>
    <w:rsid w:val="00551220"/>
    <w:rsid w:val="0055358A"/>
    <w:rsid w:val="00562A65"/>
    <w:rsid w:val="00563999"/>
    <w:rsid w:val="00563CD7"/>
    <w:rsid w:val="00571357"/>
    <w:rsid w:val="00572A51"/>
    <w:rsid w:val="005736F3"/>
    <w:rsid w:val="00583FE4"/>
    <w:rsid w:val="00584228"/>
    <w:rsid w:val="00590005"/>
    <w:rsid w:val="00595AE8"/>
    <w:rsid w:val="005A02A1"/>
    <w:rsid w:val="005A12B7"/>
    <w:rsid w:val="005A6D75"/>
    <w:rsid w:val="005C0794"/>
    <w:rsid w:val="005C73ED"/>
    <w:rsid w:val="005D1B6A"/>
    <w:rsid w:val="005D21D5"/>
    <w:rsid w:val="005D70F4"/>
    <w:rsid w:val="005E1C84"/>
    <w:rsid w:val="005E5404"/>
    <w:rsid w:val="005E552F"/>
    <w:rsid w:val="005F0184"/>
    <w:rsid w:val="005F0468"/>
    <w:rsid w:val="005F0868"/>
    <w:rsid w:val="005F09CB"/>
    <w:rsid w:val="005F1385"/>
    <w:rsid w:val="005F2200"/>
    <w:rsid w:val="005F4A44"/>
    <w:rsid w:val="005F538D"/>
    <w:rsid w:val="005F6995"/>
    <w:rsid w:val="005F7932"/>
    <w:rsid w:val="0060119D"/>
    <w:rsid w:val="006028D5"/>
    <w:rsid w:val="006035CF"/>
    <w:rsid w:val="00604C02"/>
    <w:rsid w:val="00606243"/>
    <w:rsid w:val="00606322"/>
    <w:rsid w:val="00606C8F"/>
    <w:rsid w:val="0060730C"/>
    <w:rsid w:val="00613505"/>
    <w:rsid w:val="00620579"/>
    <w:rsid w:val="006247EA"/>
    <w:rsid w:val="00625879"/>
    <w:rsid w:val="00626BA8"/>
    <w:rsid w:val="00627E22"/>
    <w:rsid w:val="006423CF"/>
    <w:rsid w:val="0064282A"/>
    <w:rsid w:val="006455CF"/>
    <w:rsid w:val="00645E06"/>
    <w:rsid w:val="0065136F"/>
    <w:rsid w:val="00651DB7"/>
    <w:rsid w:val="00655379"/>
    <w:rsid w:val="006557BE"/>
    <w:rsid w:val="00657DAA"/>
    <w:rsid w:val="0066129D"/>
    <w:rsid w:val="00664AB7"/>
    <w:rsid w:val="006652F2"/>
    <w:rsid w:val="00665415"/>
    <w:rsid w:val="00667057"/>
    <w:rsid w:val="00680F43"/>
    <w:rsid w:val="00682910"/>
    <w:rsid w:val="00691EA2"/>
    <w:rsid w:val="0069206A"/>
    <w:rsid w:val="00695385"/>
    <w:rsid w:val="00695DC1"/>
    <w:rsid w:val="006A0F7D"/>
    <w:rsid w:val="006B25BB"/>
    <w:rsid w:val="006C040E"/>
    <w:rsid w:val="006C4EA6"/>
    <w:rsid w:val="006C503A"/>
    <w:rsid w:val="006C5C68"/>
    <w:rsid w:val="006C681B"/>
    <w:rsid w:val="006C6D42"/>
    <w:rsid w:val="006C764C"/>
    <w:rsid w:val="006D7DB4"/>
    <w:rsid w:val="006D7FCB"/>
    <w:rsid w:val="006E3781"/>
    <w:rsid w:val="006E3849"/>
    <w:rsid w:val="006E4BDC"/>
    <w:rsid w:val="006E779E"/>
    <w:rsid w:val="006F1486"/>
    <w:rsid w:val="006F5AD9"/>
    <w:rsid w:val="007000B0"/>
    <w:rsid w:val="007023B8"/>
    <w:rsid w:val="0070625C"/>
    <w:rsid w:val="00706A2E"/>
    <w:rsid w:val="00707589"/>
    <w:rsid w:val="00712C82"/>
    <w:rsid w:val="00723228"/>
    <w:rsid w:val="007270B4"/>
    <w:rsid w:val="00731F6D"/>
    <w:rsid w:val="007355E4"/>
    <w:rsid w:val="007358A5"/>
    <w:rsid w:val="00741111"/>
    <w:rsid w:val="007448AB"/>
    <w:rsid w:val="00745AEB"/>
    <w:rsid w:val="00750683"/>
    <w:rsid w:val="007512D5"/>
    <w:rsid w:val="00756FD9"/>
    <w:rsid w:val="007621CC"/>
    <w:rsid w:val="00765178"/>
    <w:rsid w:val="00773E17"/>
    <w:rsid w:val="00781AD5"/>
    <w:rsid w:val="00783905"/>
    <w:rsid w:val="007858DF"/>
    <w:rsid w:val="00786DA8"/>
    <w:rsid w:val="00787160"/>
    <w:rsid w:val="00792052"/>
    <w:rsid w:val="007A054B"/>
    <w:rsid w:val="007A1BB2"/>
    <w:rsid w:val="007B01FC"/>
    <w:rsid w:val="007B1BFB"/>
    <w:rsid w:val="007B484A"/>
    <w:rsid w:val="007C0FCC"/>
    <w:rsid w:val="007C2DC2"/>
    <w:rsid w:val="007C6000"/>
    <w:rsid w:val="007C7E2D"/>
    <w:rsid w:val="007D639C"/>
    <w:rsid w:val="007D6ADA"/>
    <w:rsid w:val="007E5BF3"/>
    <w:rsid w:val="007E6D30"/>
    <w:rsid w:val="007E7952"/>
    <w:rsid w:val="007F0892"/>
    <w:rsid w:val="007F2C28"/>
    <w:rsid w:val="008037D6"/>
    <w:rsid w:val="00805939"/>
    <w:rsid w:val="0082087D"/>
    <w:rsid w:val="00823BCC"/>
    <w:rsid w:val="00830D98"/>
    <w:rsid w:val="00832E30"/>
    <w:rsid w:val="008330BD"/>
    <w:rsid w:val="00836D78"/>
    <w:rsid w:val="0084208C"/>
    <w:rsid w:val="00850832"/>
    <w:rsid w:val="00850AB0"/>
    <w:rsid w:val="00851314"/>
    <w:rsid w:val="008579A2"/>
    <w:rsid w:val="00860845"/>
    <w:rsid w:val="00863B2D"/>
    <w:rsid w:val="008761D8"/>
    <w:rsid w:val="00882289"/>
    <w:rsid w:val="00883742"/>
    <w:rsid w:val="008849DD"/>
    <w:rsid w:val="00887E97"/>
    <w:rsid w:val="00891B0B"/>
    <w:rsid w:val="0089650D"/>
    <w:rsid w:val="00896A35"/>
    <w:rsid w:val="00896C4C"/>
    <w:rsid w:val="00896EB7"/>
    <w:rsid w:val="008A2B69"/>
    <w:rsid w:val="008A5AB0"/>
    <w:rsid w:val="008A5E68"/>
    <w:rsid w:val="008B08AD"/>
    <w:rsid w:val="008B1D5A"/>
    <w:rsid w:val="008B5CA9"/>
    <w:rsid w:val="008D16B1"/>
    <w:rsid w:val="008D5CA9"/>
    <w:rsid w:val="008E3306"/>
    <w:rsid w:val="008E5AAB"/>
    <w:rsid w:val="008E6868"/>
    <w:rsid w:val="008E6A25"/>
    <w:rsid w:val="008E7AFD"/>
    <w:rsid w:val="008F0EA2"/>
    <w:rsid w:val="008F3AB0"/>
    <w:rsid w:val="008F4727"/>
    <w:rsid w:val="008F6DEC"/>
    <w:rsid w:val="00900942"/>
    <w:rsid w:val="00902F21"/>
    <w:rsid w:val="009057E6"/>
    <w:rsid w:val="00912B69"/>
    <w:rsid w:val="00921431"/>
    <w:rsid w:val="00922009"/>
    <w:rsid w:val="00922A98"/>
    <w:rsid w:val="00923DB8"/>
    <w:rsid w:val="009300E5"/>
    <w:rsid w:val="00944E1E"/>
    <w:rsid w:val="009463C9"/>
    <w:rsid w:val="009501E7"/>
    <w:rsid w:val="00951D14"/>
    <w:rsid w:val="00953170"/>
    <w:rsid w:val="00956834"/>
    <w:rsid w:val="00956930"/>
    <w:rsid w:val="00960198"/>
    <w:rsid w:val="00961231"/>
    <w:rsid w:val="0096300E"/>
    <w:rsid w:val="0096576A"/>
    <w:rsid w:val="00966332"/>
    <w:rsid w:val="00966D98"/>
    <w:rsid w:val="00971B6D"/>
    <w:rsid w:val="0097230E"/>
    <w:rsid w:val="0097499F"/>
    <w:rsid w:val="00981B73"/>
    <w:rsid w:val="0098253A"/>
    <w:rsid w:val="00983528"/>
    <w:rsid w:val="0098730B"/>
    <w:rsid w:val="00987EF5"/>
    <w:rsid w:val="00991357"/>
    <w:rsid w:val="00992F22"/>
    <w:rsid w:val="00994097"/>
    <w:rsid w:val="009B224D"/>
    <w:rsid w:val="009B62E7"/>
    <w:rsid w:val="009D3693"/>
    <w:rsid w:val="009D3CB4"/>
    <w:rsid w:val="009D5CA6"/>
    <w:rsid w:val="009E2581"/>
    <w:rsid w:val="009E416A"/>
    <w:rsid w:val="009E7253"/>
    <w:rsid w:val="009F7196"/>
    <w:rsid w:val="00A03409"/>
    <w:rsid w:val="00A037C5"/>
    <w:rsid w:val="00A053FD"/>
    <w:rsid w:val="00A06F9E"/>
    <w:rsid w:val="00A07129"/>
    <w:rsid w:val="00A11416"/>
    <w:rsid w:val="00A16A4E"/>
    <w:rsid w:val="00A17038"/>
    <w:rsid w:val="00A206F4"/>
    <w:rsid w:val="00A25600"/>
    <w:rsid w:val="00A31D98"/>
    <w:rsid w:val="00A31F21"/>
    <w:rsid w:val="00A32765"/>
    <w:rsid w:val="00A3530D"/>
    <w:rsid w:val="00A46908"/>
    <w:rsid w:val="00A5397F"/>
    <w:rsid w:val="00A562EC"/>
    <w:rsid w:val="00A650AC"/>
    <w:rsid w:val="00A74FD3"/>
    <w:rsid w:val="00A77F7F"/>
    <w:rsid w:val="00A8175C"/>
    <w:rsid w:val="00A83CF5"/>
    <w:rsid w:val="00AA7BF6"/>
    <w:rsid w:val="00AA7D5F"/>
    <w:rsid w:val="00AB021C"/>
    <w:rsid w:val="00AB2839"/>
    <w:rsid w:val="00AB569D"/>
    <w:rsid w:val="00AC1C67"/>
    <w:rsid w:val="00AC5E6E"/>
    <w:rsid w:val="00AC6CB8"/>
    <w:rsid w:val="00AD0922"/>
    <w:rsid w:val="00AD193D"/>
    <w:rsid w:val="00AD2939"/>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6C12"/>
    <w:rsid w:val="00B47189"/>
    <w:rsid w:val="00B50CB6"/>
    <w:rsid w:val="00B51E8D"/>
    <w:rsid w:val="00B530E2"/>
    <w:rsid w:val="00B534FF"/>
    <w:rsid w:val="00B57C52"/>
    <w:rsid w:val="00B65284"/>
    <w:rsid w:val="00B75058"/>
    <w:rsid w:val="00B8114A"/>
    <w:rsid w:val="00B84103"/>
    <w:rsid w:val="00B8780F"/>
    <w:rsid w:val="00B90E8B"/>
    <w:rsid w:val="00B94195"/>
    <w:rsid w:val="00BA00F6"/>
    <w:rsid w:val="00BA375F"/>
    <w:rsid w:val="00BA5074"/>
    <w:rsid w:val="00BA556D"/>
    <w:rsid w:val="00BA7402"/>
    <w:rsid w:val="00BB2DBA"/>
    <w:rsid w:val="00BC5544"/>
    <w:rsid w:val="00BC7C2C"/>
    <w:rsid w:val="00BD36B3"/>
    <w:rsid w:val="00BE79FB"/>
    <w:rsid w:val="00BF01F8"/>
    <w:rsid w:val="00C03947"/>
    <w:rsid w:val="00C10E2D"/>
    <w:rsid w:val="00C124D4"/>
    <w:rsid w:val="00C12910"/>
    <w:rsid w:val="00C20142"/>
    <w:rsid w:val="00C20519"/>
    <w:rsid w:val="00C21933"/>
    <w:rsid w:val="00C227F0"/>
    <w:rsid w:val="00C425C8"/>
    <w:rsid w:val="00C54B88"/>
    <w:rsid w:val="00C62379"/>
    <w:rsid w:val="00C65089"/>
    <w:rsid w:val="00C664AF"/>
    <w:rsid w:val="00C75D42"/>
    <w:rsid w:val="00C809BC"/>
    <w:rsid w:val="00C92676"/>
    <w:rsid w:val="00C946EA"/>
    <w:rsid w:val="00C958B2"/>
    <w:rsid w:val="00CA07E2"/>
    <w:rsid w:val="00CA07FD"/>
    <w:rsid w:val="00CA0BCF"/>
    <w:rsid w:val="00CA378D"/>
    <w:rsid w:val="00CA4865"/>
    <w:rsid w:val="00CA788B"/>
    <w:rsid w:val="00CB574F"/>
    <w:rsid w:val="00CC2255"/>
    <w:rsid w:val="00CC309A"/>
    <w:rsid w:val="00CC3A3D"/>
    <w:rsid w:val="00CC5D21"/>
    <w:rsid w:val="00CC5F62"/>
    <w:rsid w:val="00CD062D"/>
    <w:rsid w:val="00CD1F0E"/>
    <w:rsid w:val="00CD2105"/>
    <w:rsid w:val="00CD3FFE"/>
    <w:rsid w:val="00CD43ED"/>
    <w:rsid w:val="00CE2A99"/>
    <w:rsid w:val="00CF3259"/>
    <w:rsid w:val="00CF66B1"/>
    <w:rsid w:val="00CF6BF7"/>
    <w:rsid w:val="00D016FD"/>
    <w:rsid w:val="00D023EE"/>
    <w:rsid w:val="00D11CAE"/>
    <w:rsid w:val="00D123C3"/>
    <w:rsid w:val="00D14B18"/>
    <w:rsid w:val="00D14F9D"/>
    <w:rsid w:val="00D2034B"/>
    <w:rsid w:val="00D249E9"/>
    <w:rsid w:val="00D278D9"/>
    <w:rsid w:val="00D32F59"/>
    <w:rsid w:val="00D33566"/>
    <w:rsid w:val="00D34AEF"/>
    <w:rsid w:val="00D34E53"/>
    <w:rsid w:val="00D37426"/>
    <w:rsid w:val="00D404DB"/>
    <w:rsid w:val="00D50A0A"/>
    <w:rsid w:val="00D50FB7"/>
    <w:rsid w:val="00D51F6D"/>
    <w:rsid w:val="00D52681"/>
    <w:rsid w:val="00D620C1"/>
    <w:rsid w:val="00D704BB"/>
    <w:rsid w:val="00D724BE"/>
    <w:rsid w:val="00D83E39"/>
    <w:rsid w:val="00D85DA6"/>
    <w:rsid w:val="00D92B94"/>
    <w:rsid w:val="00D93C01"/>
    <w:rsid w:val="00D97BE0"/>
    <w:rsid w:val="00DA0400"/>
    <w:rsid w:val="00DA4DB7"/>
    <w:rsid w:val="00DB11F3"/>
    <w:rsid w:val="00DB2004"/>
    <w:rsid w:val="00DB6D9E"/>
    <w:rsid w:val="00DD028F"/>
    <w:rsid w:val="00DD03C1"/>
    <w:rsid w:val="00DD089B"/>
    <w:rsid w:val="00DD1475"/>
    <w:rsid w:val="00DD658F"/>
    <w:rsid w:val="00DE05EE"/>
    <w:rsid w:val="00DF5DC6"/>
    <w:rsid w:val="00DF7E4C"/>
    <w:rsid w:val="00E018A2"/>
    <w:rsid w:val="00E1062F"/>
    <w:rsid w:val="00E139B7"/>
    <w:rsid w:val="00E21255"/>
    <w:rsid w:val="00E23182"/>
    <w:rsid w:val="00E37B07"/>
    <w:rsid w:val="00E42A47"/>
    <w:rsid w:val="00E441F3"/>
    <w:rsid w:val="00E44F13"/>
    <w:rsid w:val="00E47BD2"/>
    <w:rsid w:val="00E510FE"/>
    <w:rsid w:val="00E60557"/>
    <w:rsid w:val="00E61CC1"/>
    <w:rsid w:val="00E62C29"/>
    <w:rsid w:val="00E63746"/>
    <w:rsid w:val="00E6457A"/>
    <w:rsid w:val="00E659B6"/>
    <w:rsid w:val="00E66566"/>
    <w:rsid w:val="00E722E8"/>
    <w:rsid w:val="00E77EC4"/>
    <w:rsid w:val="00E814AA"/>
    <w:rsid w:val="00E90F87"/>
    <w:rsid w:val="00EA0F0D"/>
    <w:rsid w:val="00EA247B"/>
    <w:rsid w:val="00EA433B"/>
    <w:rsid w:val="00EA6034"/>
    <w:rsid w:val="00EB0985"/>
    <w:rsid w:val="00EB619D"/>
    <w:rsid w:val="00EB63CF"/>
    <w:rsid w:val="00EC13A5"/>
    <w:rsid w:val="00EC2947"/>
    <w:rsid w:val="00EC457A"/>
    <w:rsid w:val="00EC6701"/>
    <w:rsid w:val="00ED267A"/>
    <w:rsid w:val="00ED272F"/>
    <w:rsid w:val="00ED2D85"/>
    <w:rsid w:val="00ED301B"/>
    <w:rsid w:val="00ED3892"/>
    <w:rsid w:val="00EE1905"/>
    <w:rsid w:val="00EE5FE7"/>
    <w:rsid w:val="00EE7617"/>
    <w:rsid w:val="00EF0A93"/>
    <w:rsid w:val="00EF0BE2"/>
    <w:rsid w:val="00F01295"/>
    <w:rsid w:val="00F07051"/>
    <w:rsid w:val="00F16F40"/>
    <w:rsid w:val="00F172DD"/>
    <w:rsid w:val="00F22BBF"/>
    <w:rsid w:val="00F252BE"/>
    <w:rsid w:val="00F26C7A"/>
    <w:rsid w:val="00F32116"/>
    <w:rsid w:val="00F4130C"/>
    <w:rsid w:val="00F43C73"/>
    <w:rsid w:val="00F446CC"/>
    <w:rsid w:val="00F47562"/>
    <w:rsid w:val="00F505EC"/>
    <w:rsid w:val="00F511A5"/>
    <w:rsid w:val="00F532EC"/>
    <w:rsid w:val="00F6290D"/>
    <w:rsid w:val="00F71D28"/>
    <w:rsid w:val="00F755CD"/>
    <w:rsid w:val="00F758B1"/>
    <w:rsid w:val="00F75B11"/>
    <w:rsid w:val="00F75D90"/>
    <w:rsid w:val="00F8080D"/>
    <w:rsid w:val="00F809A3"/>
    <w:rsid w:val="00F878A9"/>
    <w:rsid w:val="00F9095F"/>
    <w:rsid w:val="00F91A97"/>
    <w:rsid w:val="00F93FE1"/>
    <w:rsid w:val="00F9587C"/>
    <w:rsid w:val="00FA03C3"/>
    <w:rsid w:val="00FA24DD"/>
    <w:rsid w:val="00FA3B5C"/>
    <w:rsid w:val="00FB4616"/>
    <w:rsid w:val="00FB5D0A"/>
    <w:rsid w:val="00FB6AA8"/>
    <w:rsid w:val="00FB7A8F"/>
    <w:rsid w:val="00FC161B"/>
    <w:rsid w:val="00FC184C"/>
    <w:rsid w:val="00FD0D56"/>
    <w:rsid w:val="00FE6C01"/>
    <w:rsid w:val="00FF2DFA"/>
    <w:rsid w:val="00FF7482"/>
    <w:rsid w:val="07DE165F"/>
    <w:rsid w:val="17254BCE"/>
    <w:rsid w:val="489071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nhideWhenUsed="0" w:uiPriority="99" w:name="footnote text"/>
    <w:lsdException w:unhideWhenUsed="0" w:uiPriority="0"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nhideWhenUsed="0"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semiHidden="0"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20" w:semiHidden="0" w:name="Emphasis" w:locked="1"/>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99" w:name=""/>
  </w:latentStyles>
  <w:style w:type="paragraph" w:default="1" w:styleId="1">
    <w:name w:val="Normal"/>
    <w:qFormat/>
    <w:uiPriority w:val="0"/>
    <w:rPr>
      <w:sz w:val="24"/>
      <w:szCs w:val="24"/>
      <w:lang w:val="ru-RU" w:eastAsia="ru-RU" w:bidi="ar-SA"/>
    </w:rPr>
  </w:style>
  <w:style w:type="paragraph" w:styleId="2">
    <w:name w:val="heading 1"/>
    <w:basedOn w:val="1"/>
    <w:next w:val="1"/>
    <w:link w:val="22"/>
    <w:qFormat/>
    <w:uiPriority w:val="99"/>
    <w:pPr>
      <w:keepNext/>
      <w:spacing w:before="240" w:after="60"/>
      <w:outlineLvl w:val="0"/>
    </w:pPr>
    <w:rPr>
      <w:rFonts w:ascii="Cambria" w:hAnsi="Cambria"/>
      <w:b/>
      <w:bCs/>
      <w:kern w:val="32"/>
      <w:sz w:val="32"/>
      <w:szCs w:val="32"/>
    </w:rPr>
  </w:style>
  <w:style w:type="paragraph" w:styleId="3">
    <w:name w:val="heading 2"/>
    <w:basedOn w:val="1"/>
    <w:next w:val="1"/>
    <w:link w:val="23"/>
    <w:qFormat/>
    <w:uiPriority w:val="99"/>
    <w:pPr>
      <w:keepNext/>
      <w:spacing w:before="240" w:after="60"/>
      <w:outlineLvl w:val="1"/>
    </w:pPr>
    <w:rPr>
      <w:rFonts w:ascii="Cambria" w:hAnsi="Cambria"/>
      <w:b/>
      <w:bCs/>
      <w:i/>
      <w:iCs/>
      <w:sz w:val="28"/>
      <w:szCs w:val="28"/>
    </w:rPr>
  </w:style>
  <w:style w:type="paragraph" w:styleId="4">
    <w:name w:val="heading 3"/>
    <w:basedOn w:val="1"/>
    <w:next w:val="1"/>
    <w:link w:val="24"/>
    <w:qFormat/>
    <w:uiPriority w:val="99"/>
    <w:pPr>
      <w:keepNext/>
      <w:spacing w:before="240" w:after="60"/>
      <w:outlineLvl w:val="2"/>
    </w:pPr>
    <w:rPr>
      <w:rFonts w:ascii="Cambria" w:hAnsi="Cambria"/>
      <w:b/>
      <w:bCs/>
      <w:sz w:val="26"/>
      <w:szCs w:val="26"/>
    </w:rPr>
  </w:style>
  <w:style w:type="paragraph" w:styleId="5">
    <w:name w:val="heading 4"/>
    <w:basedOn w:val="1"/>
    <w:link w:val="25"/>
    <w:qFormat/>
    <w:uiPriority w:val="99"/>
    <w:pPr>
      <w:overflowPunct w:val="0"/>
      <w:autoSpaceDE w:val="0"/>
      <w:autoSpaceDN w:val="0"/>
      <w:adjustRightInd w:val="0"/>
      <w:spacing w:before="180" w:after="240"/>
      <w:textAlignment w:val="baseline"/>
      <w:outlineLvl w:val="3"/>
    </w:pPr>
    <w:rPr>
      <w:rFonts w:ascii="Calibri" w:hAnsi="Calibri"/>
      <w:b/>
      <w:bCs/>
      <w:sz w:val="28"/>
      <w:szCs w:val="28"/>
    </w:rPr>
  </w:style>
  <w:style w:type="character" w:default="1" w:styleId="6">
    <w:name w:val="Default Paragraph Font"/>
    <w:unhideWhenUsed/>
    <w:uiPriority w:val="1"/>
  </w:style>
  <w:style w:type="table" w:default="1" w:styleId="7">
    <w:name w:val="Normal Table"/>
    <w:unhideWhenUsed/>
    <w:uiPriority w:val="99"/>
    <w:tblPr>
      <w:tblStyle w:val="7"/>
      <w:tblCellMar>
        <w:top w:w="0" w:type="dxa"/>
        <w:left w:w="108" w:type="dxa"/>
        <w:bottom w:w="0" w:type="dxa"/>
        <w:right w:w="108" w:type="dxa"/>
      </w:tblCellMar>
    </w:tblPr>
  </w:style>
  <w:style w:type="character" w:styleId="8">
    <w:name w:val="footnote reference"/>
    <w:semiHidden/>
    <w:uiPriority w:val="99"/>
    <w:rPr>
      <w:rFonts w:cs="Times New Roman"/>
      <w:vertAlign w:val="superscript"/>
    </w:rPr>
  </w:style>
  <w:style w:type="character" w:styleId="9">
    <w:name w:val="annotation reference"/>
    <w:semiHidden/>
    <w:uiPriority w:val="99"/>
    <w:rPr>
      <w:rFonts w:cs="Times New Roman"/>
      <w:sz w:val="16"/>
      <w:szCs w:val="16"/>
    </w:rPr>
  </w:style>
  <w:style w:type="character" w:styleId="10">
    <w:name w:val="Emphasis"/>
    <w:qFormat/>
    <w:locked/>
    <w:uiPriority w:val="20"/>
    <w:rPr>
      <w:i/>
      <w:iCs/>
    </w:rPr>
  </w:style>
  <w:style w:type="paragraph" w:styleId="11">
    <w:name w:val="Balloon Text"/>
    <w:basedOn w:val="1"/>
    <w:link w:val="26"/>
    <w:semiHidden/>
    <w:uiPriority w:val="99"/>
    <w:rPr>
      <w:sz w:val="2"/>
      <w:szCs w:val="20"/>
    </w:rPr>
  </w:style>
  <w:style w:type="paragraph" w:styleId="12">
    <w:name w:val="Body Text 2"/>
    <w:basedOn w:val="1"/>
    <w:link w:val="27"/>
    <w:uiPriority w:val="99"/>
    <w:pPr>
      <w:spacing w:line="360" w:lineRule="auto"/>
      <w:jc w:val="both"/>
    </w:pPr>
  </w:style>
  <w:style w:type="paragraph" w:styleId="13">
    <w:name w:val="annotation text"/>
    <w:basedOn w:val="1"/>
    <w:link w:val="28"/>
    <w:semiHidden/>
    <w:uiPriority w:val="0"/>
    <w:rPr>
      <w:sz w:val="20"/>
      <w:szCs w:val="20"/>
    </w:rPr>
  </w:style>
  <w:style w:type="paragraph" w:styleId="14">
    <w:name w:val="annotation subject"/>
    <w:basedOn w:val="13"/>
    <w:next w:val="13"/>
    <w:link w:val="29"/>
    <w:semiHidden/>
    <w:uiPriority w:val="99"/>
    <w:rPr>
      <w:b/>
      <w:bCs/>
    </w:rPr>
  </w:style>
  <w:style w:type="paragraph" w:styleId="15">
    <w:name w:val="footnote text"/>
    <w:basedOn w:val="1"/>
    <w:link w:val="30"/>
    <w:semiHidden/>
    <w:uiPriority w:val="99"/>
    <w:rPr>
      <w:sz w:val="20"/>
      <w:szCs w:val="20"/>
    </w:rPr>
  </w:style>
  <w:style w:type="paragraph" w:styleId="16">
    <w:name w:val="header"/>
    <w:basedOn w:val="1"/>
    <w:link w:val="31"/>
    <w:uiPriority w:val="99"/>
    <w:pPr>
      <w:tabs>
        <w:tab w:val="center" w:pos="4677"/>
        <w:tab w:val="right" w:pos="9355"/>
      </w:tabs>
    </w:pPr>
  </w:style>
  <w:style w:type="paragraph" w:styleId="17">
    <w:name w:val="Body Text"/>
    <w:basedOn w:val="1"/>
    <w:link w:val="32"/>
    <w:uiPriority w:val="99"/>
    <w:pPr>
      <w:spacing w:after="120"/>
    </w:pPr>
  </w:style>
  <w:style w:type="paragraph" w:styleId="18">
    <w:name w:val="Title"/>
    <w:basedOn w:val="1"/>
    <w:link w:val="33"/>
    <w:qFormat/>
    <w:uiPriority w:val="99"/>
    <w:pPr>
      <w:autoSpaceDE w:val="0"/>
      <w:autoSpaceDN w:val="0"/>
      <w:jc w:val="center"/>
    </w:pPr>
    <w:rPr>
      <w:rFonts w:ascii="Cambria" w:hAnsi="Cambria"/>
      <w:b/>
      <w:bCs/>
      <w:kern w:val="28"/>
      <w:sz w:val="32"/>
      <w:szCs w:val="32"/>
    </w:rPr>
  </w:style>
  <w:style w:type="paragraph" w:styleId="19">
    <w:name w:val="footer"/>
    <w:basedOn w:val="1"/>
    <w:link w:val="34"/>
    <w:uiPriority w:val="99"/>
    <w:pPr>
      <w:tabs>
        <w:tab w:val="center" w:pos="4677"/>
        <w:tab w:val="right" w:pos="9355"/>
      </w:tabs>
    </w:pPr>
  </w:style>
  <w:style w:type="paragraph" w:styleId="20">
    <w:name w:val="Normal (Web)"/>
    <w:basedOn w:val="1"/>
    <w:unhideWhenUsed/>
    <w:uiPriority w:val="99"/>
    <w:pPr>
      <w:spacing w:before="100" w:beforeAutospacing="1" w:after="100" w:afterAutospacing="1"/>
    </w:pPr>
  </w:style>
  <w:style w:type="table" w:styleId="21">
    <w:name w:val="Table Grid"/>
    <w:basedOn w:val="7"/>
    <w:uiPriority w:val="99"/>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Заголовок 1 Знак"/>
    <w:link w:val="2"/>
    <w:locked/>
    <w:uiPriority w:val="99"/>
    <w:rPr>
      <w:rFonts w:ascii="Cambria" w:hAnsi="Cambria" w:cs="Times New Roman"/>
      <w:b/>
      <w:bCs/>
      <w:kern w:val="32"/>
      <w:sz w:val="32"/>
      <w:szCs w:val="32"/>
    </w:rPr>
  </w:style>
  <w:style w:type="character" w:customStyle="1" w:styleId="23">
    <w:name w:val="Заголовок 2 Знак"/>
    <w:link w:val="3"/>
    <w:semiHidden/>
    <w:locked/>
    <w:uiPriority w:val="99"/>
    <w:rPr>
      <w:rFonts w:ascii="Cambria" w:hAnsi="Cambria" w:cs="Times New Roman"/>
      <w:b/>
      <w:bCs/>
      <w:i/>
      <w:iCs/>
      <w:sz w:val="28"/>
      <w:szCs w:val="28"/>
    </w:rPr>
  </w:style>
  <w:style w:type="character" w:customStyle="1" w:styleId="24">
    <w:name w:val="Заголовок 3 Знак"/>
    <w:link w:val="4"/>
    <w:semiHidden/>
    <w:locked/>
    <w:uiPriority w:val="99"/>
    <w:rPr>
      <w:rFonts w:ascii="Cambria" w:hAnsi="Cambria" w:cs="Times New Roman"/>
      <w:b/>
      <w:bCs/>
      <w:sz w:val="26"/>
      <w:szCs w:val="26"/>
    </w:rPr>
  </w:style>
  <w:style w:type="character" w:customStyle="1" w:styleId="25">
    <w:name w:val="Заголовок 4 Знак"/>
    <w:aliases w:val="Sub-Minor Знак,Level 2 - a Знак,H4 Знак,H41 Знак"/>
    <w:link w:val="5"/>
    <w:semiHidden/>
    <w:locked/>
    <w:uiPriority w:val="99"/>
    <w:rPr>
      <w:rFonts w:ascii="Calibri" w:hAnsi="Calibri" w:cs="Times New Roman"/>
      <w:b/>
      <w:bCs/>
      <w:sz w:val="28"/>
      <w:szCs w:val="28"/>
    </w:rPr>
  </w:style>
  <w:style w:type="character" w:customStyle="1" w:styleId="26">
    <w:name w:val="Текст выноски Знак"/>
    <w:link w:val="11"/>
    <w:semiHidden/>
    <w:locked/>
    <w:uiPriority w:val="99"/>
    <w:rPr>
      <w:rFonts w:cs="Times New Roman"/>
      <w:sz w:val="2"/>
    </w:rPr>
  </w:style>
  <w:style w:type="character" w:customStyle="1" w:styleId="27">
    <w:name w:val="Основной текст 2 Знак"/>
    <w:link w:val="12"/>
    <w:semiHidden/>
    <w:locked/>
    <w:uiPriority w:val="99"/>
    <w:rPr>
      <w:rFonts w:cs="Times New Roman"/>
      <w:sz w:val="24"/>
      <w:szCs w:val="24"/>
    </w:rPr>
  </w:style>
  <w:style w:type="character" w:customStyle="1" w:styleId="28">
    <w:name w:val="Текст примечания Знак"/>
    <w:link w:val="13"/>
    <w:semiHidden/>
    <w:locked/>
    <w:uiPriority w:val="0"/>
    <w:rPr>
      <w:rFonts w:cs="Times New Roman"/>
      <w:sz w:val="20"/>
      <w:szCs w:val="20"/>
    </w:rPr>
  </w:style>
  <w:style w:type="character" w:customStyle="1" w:styleId="29">
    <w:name w:val="Тема примечания Знак"/>
    <w:link w:val="14"/>
    <w:semiHidden/>
    <w:locked/>
    <w:uiPriority w:val="99"/>
    <w:rPr>
      <w:rFonts w:cs="Times New Roman"/>
      <w:b/>
      <w:bCs/>
      <w:sz w:val="20"/>
      <w:szCs w:val="20"/>
    </w:rPr>
  </w:style>
  <w:style w:type="character" w:customStyle="1" w:styleId="30">
    <w:name w:val="Текст сноски Знак"/>
    <w:link w:val="15"/>
    <w:semiHidden/>
    <w:locked/>
    <w:uiPriority w:val="99"/>
    <w:rPr>
      <w:rFonts w:cs="Times New Roman"/>
      <w:sz w:val="20"/>
      <w:szCs w:val="20"/>
    </w:rPr>
  </w:style>
  <w:style w:type="character" w:customStyle="1" w:styleId="31">
    <w:name w:val="Верхний колонтитул Знак"/>
    <w:link w:val="16"/>
    <w:locked/>
    <w:uiPriority w:val="99"/>
    <w:rPr>
      <w:rFonts w:cs="Times New Roman"/>
      <w:sz w:val="24"/>
      <w:szCs w:val="24"/>
    </w:rPr>
  </w:style>
  <w:style w:type="character" w:customStyle="1" w:styleId="32">
    <w:name w:val="Основной текст Знак"/>
    <w:link w:val="17"/>
    <w:semiHidden/>
    <w:locked/>
    <w:uiPriority w:val="99"/>
    <w:rPr>
      <w:rFonts w:cs="Times New Roman"/>
      <w:sz w:val="24"/>
      <w:szCs w:val="24"/>
    </w:rPr>
  </w:style>
  <w:style w:type="character" w:customStyle="1" w:styleId="33">
    <w:name w:val="Название Знак"/>
    <w:link w:val="18"/>
    <w:locked/>
    <w:uiPriority w:val="99"/>
    <w:rPr>
      <w:rFonts w:ascii="Cambria" w:hAnsi="Cambria" w:cs="Times New Roman"/>
      <w:b/>
      <w:bCs/>
      <w:kern w:val="28"/>
      <w:sz w:val="32"/>
      <w:szCs w:val="32"/>
    </w:rPr>
  </w:style>
  <w:style w:type="character" w:customStyle="1" w:styleId="34">
    <w:name w:val="Нижний колонтитул Знак"/>
    <w:link w:val="19"/>
    <w:locked/>
    <w:uiPriority w:val="99"/>
    <w:rPr>
      <w:rFonts w:cs="Times New Roman"/>
      <w:sz w:val="24"/>
      <w:szCs w:val="24"/>
    </w:rPr>
  </w:style>
  <w:style w:type="paragraph" w:customStyle="1" w:styleId="35">
    <w:name w:val="ConsPlusNormal"/>
    <w:uiPriority w:val="0"/>
    <w:pPr>
      <w:autoSpaceDE w:val="0"/>
      <w:autoSpaceDN w:val="0"/>
      <w:adjustRightInd w:val="0"/>
      <w:ind w:firstLine="720"/>
    </w:pPr>
    <w:rPr>
      <w:rFonts w:ascii="Arial" w:hAnsi="Arial" w:cs="Arial"/>
      <w:lang w:val="ru-RU" w:eastAsia="ru-RU" w:bidi="ar-SA"/>
    </w:rPr>
  </w:style>
  <w:style w:type="paragraph" w:customStyle="1" w:styleId="36">
    <w:name w:val="Основной текст с отступом 31"/>
    <w:basedOn w:val="1"/>
    <w:uiPriority w:val="99"/>
    <w:pPr>
      <w:ind w:left="567" w:hanging="567"/>
      <w:jc w:val="both"/>
    </w:pPr>
    <w:rPr>
      <w:color w:val="000000"/>
      <w:szCs w:val="20"/>
    </w:rPr>
  </w:style>
  <w:style w:type="paragraph" w:customStyle="1" w:styleId="37">
    <w:name w:val="Стиль1"/>
    <w:uiPriority w:val="99"/>
    <w:pPr>
      <w:autoSpaceDE w:val="0"/>
      <w:autoSpaceDN w:val="0"/>
    </w:pPr>
    <w:rPr>
      <w:lang w:val="ru-RU" w:eastAsia="ru-RU" w:bidi="ar-SA"/>
    </w:rPr>
  </w:style>
  <w:style w:type="character" w:customStyle="1" w:styleId="38">
    <w:name w:val="Body text (2)_"/>
    <w:link w:val="39"/>
    <w:uiPriority w:val="0"/>
    <w:rPr>
      <w:rFonts w:ascii="Arial" w:hAnsi="Arial" w:eastAsia="Arial" w:cs="Arial"/>
      <w:sz w:val="40"/>
      <w:szCs w:val="40"/>
      <w:shd w:val="clear" w:color="auto" w:fill="FFFFFF"/>
    </w:rPr>
  </w:style>
  <w:style w:type="paragraph" w:customStyle="1" w:styleId="39">
    <w:name w:val="Body text (2)"/>
    <w:basedOn w:val="1"/>
    <w:link w:val="38"/>
    <w:uiPriority w:val="0"/>
    <w:pPr>
      <w:shd w:val="clear" w:color="auto" w:fill="FFFFFF"/>
      <w:spacing w:line="691" w:lineRule="exact"/>
    </w:pPr>
    <w:rPr>
      <w:rFonts w:ascii="Arial" w:hAnsi="Arial" w:eastAsia="Arial"/>
      <w:sz w:val="40"/>
      <w:szCs w:val="40"/>
    </w:rPr>
  </w:style>
  <w:style w:type="character" w:customStyle="1" w:styleId="40">
    <w:name w:val="small"/>
    <w:uiPriority w:val="0"/>
  </w:style>
  <w:style w:type="paragraph" w:customStyle="1" w:styleId="41">
    <w:name w:val="Style60"/>
    <w:basedOn w:val="1"/>
    <w:uiPriority w:val="99"/>
    <w:pPr>
      <w:widowControl w:val="0"/>
      <w:autoSpaceDE w:val="0"/>
      <w:autoSpaceDN w:val="0"/>
      <w:adjustRightInd w:val="0"/>
      <w:spacing w:line="266" w:lineRule="exact"/>
      <w:ind w:firstLine="720"/>
      <w:jc w:val="both"/>
    </w:pPr>
    <w:rPr>
      <w:rFonts w:ascii="Arial" w:hAnsi="Arial" w:eastAsia="Times New Roman" w:cs="Arial"/>
    </w:rPr>
  </w:style>
  <w:style w:type="paragraph" w:customStyle="1" w:styleId="42">
    <w:name w:val="Style64"/>
    <w:basedOn w:val="1"/>
    <w:uiPriority w:val="99"/>
    <w:pPr>
      <w:widowControl w:val="0"/>
      <w:autoSpaceDE w:val="0"/>
      <w:autoSpaceDN w:val="0"/>
      <w:adjustRightInd w:val="0"/>
      <w:spacing w:line="266" w:lineRule="exact"/>
      <w:ind w:firstLine="691"/>
      <w:jc w:val="both"/>
    </w:pPr>
    <w:rPr>
      <w:rFonts w:ascii="Arial" w:hAnsi="Arial" w:eastAsia="Times New Roman" w:cs="Arial"/>
    </w:rPr>
  </w:style>
  <w:style w:type="paragraph" w:customStyle="1" w:styleId="43">
    <w:name w:val="Style96"/>
    <w:basedOn w:val="1"/>
    <w:uiPriority w:val="99"/>
    <w:pPr>
      <w:widowControl w:val="0"/>
      <w:autoSpaceDE w:val="0"/>
      <w:autoSpaceDN w:val="0"/>
      <w:adjustRightInd w:val="0"/>
      <w:spacing w:line="269" w:lineRule="exact"/>
      <w:jc w:val="both"/>
    </w:pPr>
    <w:rPr>
      <w:rFonts w:ascii="Arial" w:hAnsi="Arial" w:eastAsia="Times New Roman" w:cs="Arial"/>
    </w:rPr>
  </w:style>
  <w:style w:type="paragraph" w:styleId="44">
    <w:name w:val=""/>
    <w:semiHidden/>
    <w:uiPriority w:val="99"/>
    <w:rPr>
      <w:sz w:val="24"/>
      <w:szCs w:val="24"/>
      <w:lang w:val="ru-RU" w:eastAsia="ru-RU" w:bidi="ar-SA"/>
    </w:rPr>
  </w:style>
  <w:style w:type="paragraph" w:customStyle="1" w:styleId="45">
    <w:name w:val="Standard"/>
    <w:qFormat/>
    <w:uiPriority w:val="0"/>
    <w:pPr>
      <w:suppressAutoHyphens/>
      <w:textAlignment w:val="baseline"/>
    </w:pPr>
    <w:rPr>
      <w:rFonts w:ascii="Times New Roman" w:hAnsi="Times New Roman" w:eastAsia="Times New Roman" w:cs="Times New Roman"/>
      <w:kern w:val="1"/>
      <w:sz w:val="24"/>
      <w:szCs w:val="24"/>
      <w:lang w:val="ru-RU" w:eastAsia="ar-SA"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RosComSys</Company>
  <Pages>17</Pages>
  <Words>8566</Words>
  <Characters>48827</Characters>
  <Lines>406</Lines>
  <Paragraphs>114</Paragraphs>
  <TotalTime>0</TotalTime>
  <ScaleCrop>false</ScaleCrop>
  <LinksUpToDate>false</LinksUpToDate>
  <CharactersWithSpaces>57279</CharactersWithSpaces>
  <Application>WPS Office_11.2.0.11130_F1E327BC-269C-435d-A152-05C5408002CA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2022-02-09T06:29:00Z</dcterms:created>
  <dc:creator>Владимир Гринько</dc:creator>
  <cp:lastModifiedBy>zakup_nach</cp:lastModifiedBy>
  <cp:lastPrinted>2012-02-22T07:49:00Z</cp:lastPrinted>
  <dcterms:modified xsi:type="dcterms:W3CDTF">2022-05-23T12:14:41Z</dcterms:modified>
  <dc:title>ДОГОВОР</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5DA31BDE9D60445AA997F8946992C867</vt:lpwstr>
  </property>
</Properties>
</file>